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2DBF" w14:textId="77777777" w:rsidR="00B4267E" w:rsidRDefault="00AE05E2" w:rsidP="00B4267E">
      <w:pPr>
        <w:rPr>
          <w:lang w:val="nl-NL"/>
        </w:rPr>
      </w:pPr>
      <w:r>
        <w:rPr>
          <w:lang w:val="nl-NL"/>
        </w:rPr>
        <w:t xml:space="preserve">                                                                                                                                                                                                                                                                                                                                                                          </w:t>
      </w:r>
      <w:r w:rsidR="00654E14">
        <w:rPr>
          <w:lang w:val="nl-NL"/>
        </w:rPr>
        <w:t xml:space="preserve"> </w:t>
      </w:r>
      <w:r w:rsidR="00EC5B18">
        <w:rPr>
          <w:lang w:val="nl-NL"/>
        </w:rPr>
        <w:t xml:space="preserve">  </w:t>
      </w:r>
      <w:r w:rsidR="00B4267E">
        <w:rPr>
          <w:noProof/>
          <w:lang w:val="nl-NL" w:eastAsia="zh-CN"/>
        </w:rPr>
        <w:drawing>
          <wp:inline distT="0" distB="0" distL="0" distR="0" wp14:anchorId="41EEA563" wp14:editId="7B4B9603">
            <wp:extent cx="141732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769620"/>
                    </a:xfrm>
                    <a:prstGeom prst="rect">
                      <a:avLst/>
                    </a:prstGeom>
                    <a:noFill/>
                    <a:ln>
                      <a:noFill/>
                    </a:ln>
                  </pic:spPr>
                </pic:pic>
              </a:graphicData>
            </a:graphic>
          </wp:inline>
        </w:drawing>
      </w:r>
    </w:p>
    <w:p w14:paraId="3763C33E" w14:textId="77777777" w:rsidR="00B4267E" w:rsidRPr="00452173" w:rsidRDefault="00B4267E" w:rsidP="00B4267E">
      <w:pPr>
        <w:pStyle w:val="Caption"/>
        <w:rPr>
          <w:rFonts w:ascii="Arial" w:hAnsi="Arial" w:cs="Arial"/>
          <w:sz w:val="24"/>
          <w:szCs w:val="24"/>
          <w:lang w:val="nl-NL"/>
        </w:rPr>
      </w:pPr>
      <w:r w:rsidRPr="00452173">
        <w:rPr>
          <w:rFonts w:ascii="Arial" w:hAnsi="Arial" w:cs="Arial"/>
          <w:sz w:val="24"/>
          <w:szCs w:val="24"/>
          <w:lang w:val="nl-NL"/>
        </w:rPr>
        <w:t>Voor meer informatie:</w:t>
      </w:r>
    </w:p>
    <w:p w14:paraId="0945E69C" w14:textId="77777777" w:rsidR="00B4267E" w:rsidRPr="00452173" w:rsidRDefault="00B4267E" w:rsidP="00B4267E">
      <w:pPr>
        <w:pStyle w:val="Caption"/>
        <w:rPr>
          <w:rFonts w:ascii="Arial" w:hAnsi="Arial" w:cs="Arial"/>
          <w:sz w:val="24"/>
          <w:szCs w:val="24"/>
          <w:lang w:val="nl-NL"/>
        </w:rPr>
      </w:pPr>
      <w:r w:rsidRPr="00452173">
        <w:rPr>
          <w:rFonts w:ascii="Arial" w:hAnsi="Arial" w:cs="Arial"/>
          <w:sz w:val="24"/>
          <w:szCs w:val="24"/>
          <w:lang w:val="nl-NL"/>
        </w:rPr>
        <w:t>Centraal Bureau voor de Statistiek</w:t>
      </w:r>
    </w:p>
    <w:p w14:paraId="59ACB447" w14:textId="77777777" w:rsidR="00B4267E" w:rsidRPr="00CC7537" w:rsidRDefault="00A07ACB" w:rsidP="00B4267E">
      <w:pPr>
        <w:pStyle w:val="NoSpacing"/>
        <w:rPr>
          <w:rFonts w:asciiTheme="minorHAnsi" w:hAnsiTheme="minorHAnsi"/>
        </w:rPr>
      </w:pPr>
      <w:r w:rsidRPr="00CC7537">
        <w:rPr>
          <w:rFonts w:asciiTheme="minorHAnsi" w:hAnsiTheme="minorHAnsi"/>
        </w:rPr>
        <w:t xml:space="preserve">WTC Building, </w:t>
      </w:r>
      <w:proofErr w:type="spellStart"/>
      <w:r w:rsidRPr="00CC7537">
        <w:rPr>
          <w:rFonts w:asciiTheme="minorHAnsi" w:hAnsiTheme="minorHAnsi"/>
        </w:rPr>
        <w:t>Piscadera</w:t>
      </w:r>
      <w:proofErr w:type="spellEnd"/>
      <w:r w:rsidRPr="00CC7537">
        <w:rPr>
          <w:rFonts w:asciiTheme="minorHAnsi" w:hAnsiTheme="minorHAnsi"/>
        </w:rPr>
        <w:t xml:space="preserve"> bay </w:t>
      </w:r>
      <w:r w:rsidR="00B4267E" w:rsidRPr="00CC7537">
        <w:rPr>
          <w:rFonts w:asciiTheme="minorHAnsi" w:hAnsiTheme="minorHAnsi"/>
        </w:rPr>
        <w:t>z/n</w:t>
      </w:r>
    </w:p>
    <w:p w14:paraId="518CFE2E" w14:textId="77777777" w:rsidR="00B4267E" w:rsidRPr="00CC7537" w:rsidRDefault="00B4267E" w:rsidP="00B4267E">
      <w:pPr>
        <w:pStyle w:val="NoSpacing"/>
        <w:rPr>
          <w:rFonts w:asciiTheme="minorHAnsi" w:hAnsiTheme="minorHAnsi"/>
          <w:lang w:val="it-IT"/>
        </w:rPr>
      </w:pPr>
      <w:r w:rsidRPr="00A26512">
        <w:rPr>
          <w:rFonts w:asciiTheme="minorHAnsi" w:hAnsiTheme="minorHAnsi"/>
        </w:rPr>
        <w:t xml:space="preserve">Tel: </w:t>
      </w:r>
      <w:r w:rsidR="00F54D59" w:rsidRPr="00A26512">
        <w:rPr>
          <w:rFonts w:asciiTheme="minorHAnsi" w:hAnsiTheme="minorHAnsi"/>
        </w:rPr>
        <w:t>(5999) 839.2300</w:t>
      </w:r>
    </w:p>
    <w:p w14:paraId="29000441" w14:textId="77777777" w:rsidR="00B4267E" w:rsidRPr="00CC7537" w:rsidRDefault="00B4267E" w:rsidP="00B4267E">
      <w:pPr>
        <w:pStyle w:val="NoSpacing"/>
        <w:rPr>
          <w:rFonts w:asciiTheme="minorHAnsi" w:hAnsiTheme="minorHAnsi"/>
          <w:lang w:val="it-IT"/>
        </w:rPr>
      </w:pPr>
      <w:r w:rsidRPr="00CC7537">
        <w:rPr>
          <w:rFonts w:asciiTheme="minorHAnsi" w:hAnsiTheme="minorHAnsi"/>
          <w:lang w:val="it-IT"/>
        </w:rPr>
        <w:t xml:space="preserve">E-mail: </w:t>
      </w:r>
      <w:r w:rsidR="00631EB2">
        <w:fldChar w:fldCharType="begin"/>
      </w:r>
      <w:r w:rsidR="00631EB2">
        <w:instrText xml:space="preserve"> HYPERLINK "mailto:info@cbs.cw" </w:instrText>
      </w:r>
      <w:r w:rsidR="00631EB2">
        <w:fldChar w:fldCharType="separate"/>
      </w:r>
      <w:r w:rsidRPr="00CC7537">
        <w:rPr>
          <w:rStyle w:val="Hyperlink"/>
          <w:rFonts w:asciiTheme="minorHAnsi" w:hAnsiTheme="minorHAnsi"/>
          <w:lang w:val="it-IT"/>
        </w:rPr>
        <w:t>info@cbs.cw</w:t>
      </w:r>
      <w:r w:rsidR="00631EB2">
        <w:rPr>
          <w:rStyle w:val="Hyperlink"/>
          <w:rFonts w:asciiTheme="minorHAnsi" w:hAnsiTheme="minorHAnsi"/>
          <w:lang w:val="it-IT"/>
        </w:rPr>
        <w:fldChar w:fldCharType="end"/>
      </w:r>
    </w:p>
    <w:p w14:paraId="00AFE76A" w14:textId="77777777" w:rsidR="00B4267E" w:rsidRPr="00FE5457" w:rsidRDefault="00AC7A5E" w:rsidP="00B4267E">
      <w:pPr>
        <w:pStyle w:val="NoSpacing"/>
        <w:rPr>
          <w:rFonts w:asciiTheme="minorHAnsi" w:hAnsiTheme="minorHAnsi"/>
          <w:lang w:val="nl-NL"/>
        </w:rPr>
      </w:pPr>
      <w:hyperlink r:id="rId9" w:history="1">
        <w:r w:rsidR="00B4267E" w:rsidRPr="00FE5457">
          <w:rPr>
            <w:rStyle w:val="Hyperlink"/>
            <w:rFonts w:asciiTheme="minorHAnsi" w:hAnsiTheme="minorHAnsi"/>
            <w:lang w:val="nl-NL"/>
          </w:rPr>
          <w:t>www.cbs.cw</w:t>
        </w:r>
      </w:hyperlink>
    </w:p>
    <w:p w14:paraId="774D9104" w14:textId="77777777" w:rsidR="00B4267E" w:rsidRPr="00FE5457" w:rsidRDefault="00B4267E" w:rsidP="00B4267E">
      <w:pPr>
        <w:pStyle w:val="Default"/>
        <w:rPr>
          <w:rFonts w:cs="Times New Roman"/>
          <w:lang w:val="nl-NL"/>
        </w:rPr>
      </w:pPr>
      <w:r w:rsidRPr="00FE5457">
        <w:rPr>
          <w:rFonts w:ascii="Arial Black" w:hAnsi="Arial Black" w:cs="Arial Black"/>
          <w:sz w:val="52"/>
          <w:szCs w:val="52"/>
          <w:lang w:val="nl-NL"/>
        </w:rPr>
        <w:t xml:space="preserve"> </w:t>
      </w:r>
    </w:p>
    <w:p w14:paraId="75C1398B" w14:textId="77777777" w:rsidR="00A4470D" w:rsidRDefault="00EF01AF" w:rsidP="00A4470D">
      <w:pPr>
        <w:pStyle w:val="Title"/>
        <w:rPr>
          <w:lang w:val="nl-NL"/>
        </w:rPr>
      </w:pPr>
      <w:r>
        <w:rPr>
          <w:lang w:val="nl-NL"/>
        </w:rPr>
        <w:t>Economische Ontwikkeling 2020</w:t>
      </w:r>
      <w:r w:rsidR="00A4470D">
        <w:rPr>
          <w:lang w:val="nl-NL"/>
        </w:rPr>
        <w:t xml:space="preserve">: </w:t>
      </w:r>
    </w:p>
    <w:p w14:paraId="10C96EE1" w14:textId="77777777" w:rsidR="00A4470D" w:rsidRPr="002B6C5E" w:rsidRDefault="00A4470D" w:rsidP="00A4470D">
      <w:pPr>
        <w:pStyle w:val="Title"/>
        <w:rPr>
          <w:i/>
          <w:sz w:val="48"/>
          <w:szCs w:val="48"/>
          <w:lang w:val="nl-NL"/>
        </w:rPr>
      </w:pPr>
      <w:r w:rsidRPr="002B6C5E">
        <w:rPr>
          <w:i/>
          <w:sz w:val="48"/>
          <w:szCs w:val="48"/>
          <w:lang w:val="nl-NL"/>
        </w:rPr>
        <w:t>Een economie onder druk</w:t>
      </w:r>
    </w:p>
    <w:p w14:paraId="1AAF5813" w14:textId="77777777" w:rsidR="00B4267E" w:rsidRPr="002342B2" w:rsidRDefault="00B4267E" w:rsidP="00A7204F">
      <w:pPr>
        <w:pStyle w:val="Heading2"/>
        <w:rPr>
          <w:color w:val="548DD4" w:themeColor="text2" w:themeTint="99"/>
          <w:lang w:val="nl-NL"/>
        </w:rPr>
      </w:pPr>
      <w:r w:rsidRPr="002342B2">
        <w:rPr>
          <w:color w:val="548DD4" w:themeColor="text2" w:themeTint="99"/>
          <w:lang w:val="nl-NL"/>
        </w:rPr>
        <w:t xml:space="preserve">De economie </w:t>
      </w:r>
      <w:r w:rsidR="00DD6381" w:rsidRPr="002342B2">
        <w:rPr>
          <w:color w:val="548DD4" w:themeColor="text2" w:themeTint="99"/>
          <w:lang w:val="nl-NL"/>
        </w:rPr>
        <w:t xml:space="preserve">neemt af </w:t>
      </w:r>
      <w:r w:rsidR="00844B3A" w:rsidRPr="002342B2">
        <w:rPr>
          <w:color w:val="548DD4" w:themeColor="text2" w:themeTint="99"/>
          <w:lang w:val="nl-NL"/>
        </w:rPr>
        <w:t xml:space="preserve">met </w:t>
      </w:r>
      <w:r w:rsidR="003F6F60" w:rsidRPr="00341534">
        <w:rPr>
          <w:color w:val="548DD4" w:themeColor="text2" w:themeTint="99"/>
          <w:lang w:val="nl-NL"/>
        </w:rPr>
        <w:t>-</w:t>
      </w:r>
      <w:r w:rsidR="008D566D">
        <w:rPr>
          <w:color w:val="548DD4" w:themeColor="text2" w:themeTint="99"/>
          <w:lang w:val="nl-NL"/>
        </w:rPr>
        <w:t>1</w:t>
      </w:r>
      <w:r w:rsidR="001D57C4">
        <w:rPr>
          <w:color w:val="548DD4" w:themeColor="text2" w:themeTint="99"/>
          <w:lang w:val="nl-NL"/>
        </w:rPr>
        <w:t>8,</w:t>
      </w:r>
      <w:r w:rsidR="002C595C">
        <w:rPr>
          <w:color w:val="548DD4" w:themeColor="text2" w:themeTint="99"/>
          <w:lang w:val="nl-NL"/>
        </w:rPr>
        <w:t>4</w:t>
      </w:r>
      <w:r w:rsidRPr="00341534">
        <w:rPr>
          <w:color w:val="548DD4" w:themeColor="text2" w:themeTint="99"/>
          <w:lang w:val="nl-NL"/>
        </w:rPr>
        <w:t xml:space="preserve"> </w:t>
      </w:r>
      <w:r w:rsidRPr="002342B2">
        <w:rPr>
          <w:color w:val="548DD4" w:themeColor="text2" w:themeTint="99"/>
          <w:lang w:val="nl-NL"/>
        </w:rPr>
        <w:t xml:space="preserve">procent in </w:t>
      </w:r>
      <w:r w:rsidR="008A5698">
        <w:rPr>
          <w:color w:val="548DD4" w:themeColor="text2" w:themeTint="99"/>
          <w:lang w:val="nl-NL"/>
        </w:rPr>
        <w:t>2020</w:t>
      </w:r>
    </w:p>
    <w:p w14:paraId="53D29C6E" w14:textId="77777777" w:rsidR="00AB1FD9" w:rsidRPr="005E293F" w:rsidRDefault="00AB1FD9" w:rsidP="00A7204F">
      <w:pPr>
        <w:jc w:val="both"/>
        <w:rPr>
          <w:color w:val="000000" w:themeColor="text1"/>
          <w:sz w:val="24"/>
          <w:szCs w:val="24"/>
          <w:lang w:val="nl-NL"/>
        </w:rPr>
      </w:pPr>
      <w:r w:rsidRPr="005E293F">
        <w:rPr>
          <w:color w:val="000000" w:themeColor="text1"/>
          <w:sz w:val="24"/>
          <w:szCs w:val="24"/>
          <w:lang w:val="nl-NL"/>
        </w:rPr>
        <w:t xml:space="preserve">2020 was een moeilijk jaar voor de Curaçaose economie, aangezien Covid een wereldwijde recessie veroorzaakte en internationale reizen beperkte. </w:t>
      </w:r>
      <w:r w:rsidR="007F0A9C" w:rsidRPr="005E293F">
        <w:rPr>
          <w:color w:val="000000" w:themeColor="text1"/>
          <w:sz w:val="24"/>
          <w:szCs w:val="24"/>
          <w:lang w:val="nl-NL"/>
        </w:rPr>
        <w:t>De achterblijvende toeristische activiteit, een onzeker perspectief voor het beheer van olieraffinaderij en vertraagde investeringsprojecten leidden tot een scherpe inkrimping van de economische bedrijvigheid. Dit allemaal verhoogde de werkloosheid, verlaagde overheidsinkomsten en versterkten onze economische kwetsbaarheden.</w:t>
      </w:r>
    </w:p>
    <w:p w14:paraId="51C80565" w14:textId="77777777" w:rsidR="00295984" w:rsidRPr="005E293F" w:rsidRDefault="007F0A9C" w:rsidP="00A7204F">
      <w:pPr>
        <w:jc w:val="both"/>
        <w:rPr>
          <w:rFonts w:asciiTheme="minorHAnsi" w:hAnsiTheme="minorHAnsi" w:cstheme="minorHAnsi"/>
          <w:color w:val="000000" w:themeColor="text1"/>
          <w:sz w:val="24"/>
          <w:szCs w:val="24"/>
          <w:lang w:val="nl-NL"/>
        </w:rPr>
      </w:pPr>
      <w:r w:rsidRPr="005E293F">
        <w:rPr>
          <w:color w:val="000000" w:themeColor="text1"/>
          <w:sz w:val="24"/>
          <w:szCs w:val="24"/>
          <w:lang w:val="nl-NL"/>
        </w:rPr>
        <w:t>E</w:t>
      </w:r>
      <w:r w:rsidR="00FC535D" w:rsidRPr="005E293F">
        <w:rPr>
          <w:color w:val="000000" w:themeColor="text1"/>
          <w:sz w:val="24"/>
          <w:szCs w:val="24"/>
          <w:lang w:val="nl-NL"/>
        </w:rPr>
        <w:t xml:space="preserve">en </w:t>
      </w:r>
      <w:r w:rsidRPr="005E293F">
        <w:rPr>
          <w:color w:val="000000" w:themeColor="text1"/>
          <w:sz w:val="24"/>
          <w:szCs w:val="24"/>
          <w:lang w:val="nl-NL"/>
        </w:rPr>
        <w:t xml:space="preserve">zware </w:t>
      </w:r>
      <w:r w:rsidR="00FC535D" w:rsidRPr="005E293F">
        <w:rPr>
          <w:color w:val="000000" w:themeColor="text1"/>
          <w:sz w:val="24"/>
          <w:szCs w:val="24"/>
          <w:lang w:val="nl-NL"/>
        </w:rPr>
        <w:t xml:space="preserve">terugval in de economische </w:t>
      </w:r>
      <w:r w:rsidR="00453039" w:rsidRPr="005E293F">
        <w:rPr>
          <w:color w:val="000000" w:themeColor="text1"/>
          <w:sz w:val="24"/>
          <w:szCs w:val="24"/>
          <w:lang w:val="nl-NL"/>
        </w:rPr>
        <w:t>activiteiten</w:t>
      </w:r>
      <w:r w:rsidRPr="005E293F">
        <w:rPr>
          <w:color w:val="000000" w:themeColor="text1"/>
          <w:sz w:val="24"/>
          <w:szCs w:val="24"/>
          <w:lang w:val="nl-NL"/>
        </w:rPr>
        <w:t xml:space="preserve"> produceerde een krimp in </w:t>
      </w:r>
      <w:r w:rsidR="0048243B" w:rsidRPr="005E293F">
        <w:rPr>
          <w:color w:val="000000" w:themeColor="text1"/>
          <w:sz w:val="24"/>
          <w:szCs w:val="24"/>
          <w:lang w:val="nl-NL"/>
        </w:rPr>
        <w:t xml:space="preserve">het bruto binnenlands product (bbp) </w:t>
      </w:r>
      <w:r w:rsidR="002C595C" w:rsidRPr="005E293F">
        <w:rPr>
          <w:color w:val="000000" w:themeColor="text1"/>
          <w:sz w:val="24"/>
          <w:szCs w:val="24"/>
          <w:lang w:val="nl-NL"/>
        </w:rPr>
        <w:t>van 18</w:t>
      </w:r>
      <w:r w:rsidRPr="005E293F">
        <w:rPr>
          <w:color w:val="000000" w:themeColor="text1"/>
          <w:sz w:val="24"/>
          <w:szCs w:val="24"/>
          <w:lang w:val="nl-NL"/>
        </w:rPr>
        <w:t>,</w:t>
      </w:r>
      <w:r w:rsidR="002C595C" w:rsidRPr="005E293F">
        <w:rPr>
          <w:color w:val="000000" w:themeColor="text1"/>
          <w:sz w:val="24"/>
          <w:szCs w:val="24"/>
          <w:lang w:val="nl-NL"/>
        </w:rPr>
        <w:t>4</w:t>
      </w:r>
      <w:r w:rsidRPr="005E293F">
        <w:rPr>
          <w:color w:val="000000" w:themeColor="text1"/>
          <w:sz w:val="24"/>
          <w:szCs w:val="24"/>
          <w:lang w:val="nl-NL"/>
        </w:rPr>
        <w:t xml:space="preserve"> procent</w:t>
      </w:r>
      <w:r w:rsidR="0048243B" w:rsidRPr="005E293F">
        <w:rPr>
          <w:color w:val="000000" w:themeColor="text1"/>
          <w:sz w:val="24"/>
          <w:szCs w:val="24"/>
          <w:lang w:val="nl-NL"/>
        </w:rPr>
        <w:t>. Deze merkwaardige inkrimping</w:t>
      </w:r>
      <w:r w:rsidRPr="005E293F">
        <w:rPr>
          <w:color w:val="000000" w:themeColor="text1"/>
          <w:sz w:val="24"/>
          <w:szCs w:val="24"/>
          <w:lang w:val="nl-NL"/>
        </w:rPr>
        <w:t xml:space="preserve"> was nooit eerder beleefd </w:t>
      </w:r>
      <w:r w:rsidR="00FC535D" w:rsidRPr="005E293F">
        <w:rPr>
          <w:color w:val="000000" w:themeColor="text1"/>
          <w:sz w:val="24"/>
          <w:szCs w:val="24"/>
          <w:lang w:val="nl-NL"/>
        </w:rPr>
        <w:t>op Curaçao</w:t>
      </w:r>
      <w:r w:rsidR="005E293F">
        <w:rPr>
          <w:color w:val="000000" w:themeColor="text1"/>
          <w:sz w:val="24"/>
          <w:szCs w:val="24"/>
          <w:lang w:val="nl-NL"/>
        </w:rPr>
        <w:t xml:space="preserve"> in de afgelopen jaren</w:t>
      </w:r>
      <w:r w:rsidR="00FC535D" w:rsidRPr="005E293F">
        <w:rPr>
          <w:color w:val="000000" w:themeColor="text1"/>
          <w:sz w:val="24"/>
          <w:szCs w:val="24"/>
          <w:lang w:val="nl-NL"/>
        </w:rPr>
        <w:t xml:space="preserve">. </w:t>
      </w:r>
      <w:r w:rsidR="00D234E1" w:rsidRPr="005E293F">
        <w:rPr>
          <w:color w:val="000000" w:themeColor="text1"/>
          <w:sz w:val="24"/>
          <w:szCs w:val="24"/>
          <w:lang w:val="nl-NL"/>
        </w:rPr>
        <w:t xml:space="preserve">Na </w:t>
      </w:r>
      <w:r w:rsidR="0048243B" w:rsidRPr="005E293F">
        <w:rPr>
          <w:color w:val="000000" w:themeColor="text1"/>
          <w:sz w:val="24"/>
          <w:szCs w:val="24"/>
          <w:lang w:val="nl-NL"/>
        </w:rPr>
        <w:t>4</w:t>
      </w:r>
      <w:r w:rsidR="00453039" w:rsidRPr="005E293F">
        <w:rPr>
          <w:color w:val="000000" w:themeColor="text1"/>
          <w:sz w:val="24"/>
          <w:szCs w:val="24"/>
          <w:lang w:val="nl-NL"/>
        </w:rPr>
        <w:t xml:space="preserve"> jaar </w:t>
      </w:r>
      <w:r w:rsidR="00D234E1" w:rsidRPr="005E293F">
        <w:rPr>
          <w:color w:val="000000" w:themeColor="text1"/>
          <w:sz w:val="24"/>
          <w:szCs w:val="24"/>
          <w:lang w:val="nl-NL"/>
        </w:rPr>
        <w:t>achtereenvolgens</w:t>
      </w:r>
      <w:r w:rsidR="001A272C" w:rsidRPr="005E293F">
        <w:rPr>
          <w:color w:val="000000" w:themeColor="text1"/>
          <w:sz w:val="24"/>
          <w:szCs w:val="24"/>
          <w:lang w:val="nl-NL"/>
        </w:rPr>
        <w:t xml:space="preserve"> </w:t>
      </w:r>
      <w:r w:rsidR="00CD6F71" w:rsidRPr="005E293F">
        <w:rPr>
          <w:color w:val="000000" w:themeColor="text1"/>
          <w:sz w:val="24"/>
          <w:szCs w:val="24"/>
          <w:lang w:val="nl-NL"/>
        </w:rPr>
        <w:t>een afname in de economie</w:t>
      </w:r>
      <w:r w:rsidR="00453039" w:rsidRPr="005E293F">
        <w:rPr>
          <w:color w:val="000000" w:themeColor="text1"/>
          <w:sz w:val="24"/>
          <w:szCs w:val="24"/>
          <w:lang w:val="nl-NL"/>
        </w:rPr>
        <w:t xml:space="preserve"> (2016, </w:t>
      </w:r>
      <w:r w:rsidR="00D234E1" w:rsidRPr="005E293F">
        <w:rPr>
          <w:color w:val="000000" w:themeColor="text1"/>
          <w:sz w:val="24"/>
          <w:szCs w:val="24"/>
          <w:lang w:val="nl-NL"/>
        </w:rPr>
        <w:t>-1,0</w:t>
      </w:r>
      <w:r w:rsidR="00453039" w:rsidRPr="005E293F">
        <w:rPr>
          <w:color w:val="000000" w:themeColor="text1"/>
          <w:sz w:val="24"/>
          <w:szCs w:val="24"/>
          <w:lang w:val="nl-NL"/>
        </w:rPr>
        <w:t>%</w:t>
      </w:r>
      <w:r w:rsidR="00CD6F71" w:rsidRPr="005E293F">
        <w:rPr>
          <w:color w:val="000000" w:themeColor="text1"/>
          <w:sz w:val="24"/>
          <w:szCs w:val="24"/>
          <w:lang w:val="nl-NL"/>
        </w:rPr>
        <w:t>;</w:t>
      </w:r>
      <w:r w:rsidR="002847E4" w:rsidRPr="005E293F">
        <w:rPr>
          <w:color w:val="000000" w:themeColor="text1"/>
          <w:sz w:val="24"/>
          <w:szCs w:val="24"/>
          <w:lang w:val="nl-NL"/>
        </w:rPr>
        <w:t xml:space="preserve"> </w:t>
      </w:r>
      <w:r w:rsidR="00453039" w:rsidRPr="005E293F">
        <w:rPr>
          <w:color w:val="000000" w:themeColor="text1"/>
          <w:sz w:val="24"/>
          <w:szCs w:val="24"/>
          <w:lang w:val="nl-NL"/>
        </w:rPr>
        <w:t>2017,</w:t>
      </w:r>
      <w:r w:rsidR="00FE266F" w:rsidRPr="005E293F">
        <w:rPr>
          <w:color w:val="000000" w:themeColor="text1"/>
          <w:sz w:val="24"/>
          <w:szCs w:val="24"/>
          <w:lang w:val="nl-NL"/>
        </w:rPr>
        <w:t xml:space="preserve"> -</w:t>
      </w:r>
      <w:r w:rsidR="00D234E1" w:rsidRPr="005E293F">
        <w:rPr>
          <w:color w:val="000000" w:themeColor="text1"/>
          <w:sz w:val="24"/>
          <w:szCs w:val="24"/>
          <w:lang w:val="nl-NL"/>
        </w:rPr>
        <w:t>1,7</w:t>
      </w:r>
      <w:r w:rsidR="00A20D78" w:rsidRPr="005E293F">
        <w:rPr>
          <w:color w:val="000000" w:themeColor="text1"/>
          <w:sz w:val="24"/>
          <w:szCs w:val="24"/>
          <w:lang w:val="nl-NL"/>
        </w:rPr>
        <w:t xml:space="preserve"> </w:t>
      </w:r>
      <w:r w:rsidR="00453039" w:rsidRPr="005E293F">
        <w:rPr>
          <w:color w:val="000000" w:themeColor="text1"/>
          <w:sz w:val="24"/>
          <w:szCs w:val="24"/>
          <w:lang w:val="nl-NL"/>
        </w:rPr>
        <w:t>%</w:t>
      </w:r>
      <w:r w:rsidR="00D54A3D">
        <w:rPr>
          <w:color w:val="000000" w:themeColor="text1"/>
          <w:sz w:val="24"/>
          <w:szCs w:val="24"/>
          <w:lang w:val="nl-NL"/>
        </w:rPr>
        <w:t>;</w:t>
      </w:r>
      <w:r w:rsidR="003F6F60" w:rsidRPr="005E293F">
        <w:rPr>
          <w:color w:val="000000" w:themeColor="text1"/>
          <w:sz w:val="24"/>
          <w:szCs w:val="24"/>
          <w:lang w:val="nl-NL"/>
        </w:rPr>
        <w:t xml:space="preserve"> </w:t>
      </w:r>
      <w:r w:rsidR="00453039" w:rsidRPr="005E293F">
        <w:rPr>
          <w:color w:val="000000" w:themeColor="text1"/>
          <w:sz w:val="24"/>
          <w:szCs w:val="24"/>
          <w:lang w:val="nl-NL"/>
        </w:rPr>
        <w:t xml:space="preserve">2018, </w:t>
      </w:r>
      <w:r w:rsidR="003F6F60" w:rsidRPr="005E293F">
        <w:rPr>
          <w:color w:val="000000" w:themeColor="text1"/>
          <w:sz w:val="24"/>
          <w:szCs w:val="24"/>
          <w:lang w:val="nl-NL"/>
        </w:rPr>
        <w:t>-2,2</w:t>
      </w:r>
      <w:r w:rsidR="00453039" w:rsidRPr="005E293F">
        <w:rPr>
          <w:color w:val="000000" w:themeColor="text1"/>
          <w:sz w:val="24"/>
          <w:szCs w:val="24"/>
          <w:lang w:val="nl-NL"/>
        </w:rPr>
        <w:t>%</w:t>
      </w:r>
      <w:r w:rsidR="00D54A3D">
        <w:rPr>
          <w:color w:val="000000" w:themeColor="text1"/>
          <w:sz w:val="24"/>
          <w:szCs w:val="24"/>
          <w:lang w:val="nl-NL"/>
        </w:rPr>
        <w:t>;</w:t>
      </w:r>
      <w:r w:rsidR="001D57C4">
        <w:rPr>
          <w:color w:val="000000" w:themeColor="text1"/>
          <w:sz w:val="24"/>
          <w:szCs w:val="24"/>
          <w:lang w:val="nl-NL"/>
        </w:rPr>
        <w:t xml:space="preserve"> 2019, -3,</w:t>
      </w:r>
      <w:r w:rsidR="0048243B" w:rsidRPr="005E293F">
        <w:rPr>
          <w:color w:val="000000" w:themeColor="text1"/>
          <w:sz w:val="24"/>
          <w:szCs w:val="24"/>
          <w:lang w:val="nl-NL"/>
        </w:rPr>
        <w:t>4%), beland Curaçao in een diep corona recessie</w:t>
      </w:r>
      <w:r w:rsidR="002847E4" w:rsidRPr="005E293F">
        <w:rPr>
          <w:color w:val="000000" w:themeColor="text1"/>
          <w:sz w:val="24"/>
          <w:szCs w:val="24"/>
          <w:lang w:val="nl-NL"/>
        </w:rPr>
        <w:t xml:space="preserve">, dit betekent dat </w:t>
      </w:r>
      <w:r w:rsidR="002847E4" w:rsidRPr="005E293F">
        <w:rPr>
          <w:rFonts w:asciiTheme="minorHAnsi" w:hAnsiTheme="minorHAnsi" w:cstheme="minorHAnsi"/>
          <w:color w:val="000000" w:themeColor="text1"/>
          <w:sz w:val="24"/>
          <w:szCs w:val="24"/>
          <w:lang w:val="nl-NL"/>
        </w:rPr>
        <w:t>de</w:t>
      </w:r>
      <w:r w:rsidR="002847E4" w:rsidRPr="005E293F">
        <w:rPr>
          <w:rFonts w:asciiTheme="minorHAnsi" w:hAnsiTheme="minorHAnsi" w:cstheme="minorHAnsi"/>
          <w:color w:val="000000" w:themeColor="text1"/>
          <w:spacing w:val="5"/>
          <w:sz w:val="24"/>
          <w:szCs w:val="24"/>
          <w:shd w:val="clear" w:color="auto" w:fill="FFFFFF"/>
          <w:lang w:val="nl-NL"/>
        </w:rPr>
        <w:t xml:space="preserve"> omvang van de economie (ofwel het bbp) </w:t>
      </w:r>
      <w:r w:rsidR="002B6C5E" w:rsidRPr="005E293F">
        <w:rPr>
          <w:rFonts w:asciiTheme="minorHAnsi" w:hAnsiTheme="minorHAnsi" w:cstheme="minorHAnsi"/>
          <w:color w:val="000000" w:themeColor="text1"/>
          <w:spacing w:val="5"/>
          <w:sz w:val="24"/>
          <w:szCs w:val="24"/>
          <w:shd w:val="clear" w:color="auto" w:fill="FFFFFF"/>
          <w:lang w:val="nl-NL"/>
        </w:rPr>
        <w:t xml:space="preserve">veel </w:t>
      </w:r>
      <w:r w:rsidR="002847E4" w:rsidRPr="005E293F">
        <w:rPr>
          <w:rFonts w:asciiTheme="minorHAnsi" w:hAnsiTheme="minorHAnsi" w:cstheme="minorHAnsi"/>
          <w:color w:val="000000" w:themeColor="text1"/>
          <w:spacing w:val="5"/>
          <w:sz w:val="24"/>
          <w:szCs w:val="24"/>
          <w:shd w:val="clear" w:color="auto" w:fill="FFFFFF"/>
          <w:lang w:val="nl-NL"/>
        </w:rPr>
        <w:t>kleiner is dan in het jaar ervoor</w:t>
      </w:r>
      <w:r w:rsidR="0060051A" w:rsidRPr="005E293F">
        <w:rPr>
          <w:rFonts w:asciiTheme="minorHAnsi" w:hAnsiTheme="minorHAnsi" w:cstheme="minorHAnsi"/>
          <w:color w:val="000000" w:themeColor="text1"/>
          <w:sz w:val="24"/>
          <w:szCs w:val="24"/>
          <w:lang w:val="nl-NL"/>
        </w:rPr>
        <w:t>.</w:t>
      </w:r>
    </w:p>
    <w:p w14:paraId="0183E0F1" w14:textId="77777777" w:rsidR="00B4267E" w:rsidRPr="006C66D1" w:rsidRDefault="00B4267E" w:rsidP="00A7204F">
      <w:pPr>
        <w:jc w:val="both"/>
        <w:rPr>
          <w:sz w:val="24"/>
          <w:szCs w:val="24"/>
          <w:lang w:val="nl-NL"/>
        </w:rPr>
      </w:pPr>
      <w:r w:rsidRPr="005E293F">
        <w:rPr>
          <w:color w:val="000000" w:themeColor="text1"/>
          <w:sz w:val="24"/>
          <w:szCs w:val="24"/>
          <w:lang w:val="nl-NL"/>
        </w:rPr>
        <w:t xml:space="preserve">De eerste voorlopige berekeningen </w:t>
      </w:r>
      <w:r w:rsidR="00BD53AA" w:rsidRPr="005E293F">
        <w:rPr>
          <w:color w:val="000000" w:themeColor="text1"/>
          <w:sz w:val="24"/>
          <w:szCs w:val="24"/>
          <w:lang w:val="nl-NL"/>
        </w:rPr>
        <w:t>gericht op</w:t>
      </w:r>
      <w:r w:rsidRPr="005E293F">
        <w:rPr>
          <w:color w:val="000000" w:themeColor="text1"/>
          <w:sz w:val="24"/>
          <w:szCs w:val="24"/>
          <w:lang w:val="nl-NL"/>
        </w:rPr>
        <w:t xml:space="preserve"> de economische ontwikkeling </w:t>
      </w:r>
      <w:r w:rsidR="004B2973" w:rsidRPr="005E293F">
        <w:rPr>
          <w:color w:val="000000" w:themeColor="text1"/>
          <w:sz w:val="24"/>
          <w:szCs w:val="24"/>
          <w:lang w:val="nl-NL"/>
        </w:rPr>
        <w:t>in</w:t>
      </w:r>
      <w:r w:rsidRPr="005E293F">
        <w:rPr>
          <w:color w:val="000000" w:themeColor="text1"/>
          <w:sz w:val="24"/>
          <w:szCs w:val="24"/>
          <w:lang w:val="nl-NL"/>
        </w:rPr>
        <w:t xml:space="preserve"> Curaçao hebben betrekking op de reële ontwikkelingen, dat wil zeggen, dat zij gecorrigeerd zijn voor prijsontwikkelingen</w:t>
      </w:r>
      <w:r w:rsidR="005E293F">
        <w:rPr>
          <w:color w:val="000000" w:themeColor="text1"/>
          <w:sz w:val="24"/>
          <w:szCs w:val="24"/>
          <w:lang w:val="nl-NL"/>
        </w:rPr>
        <w:t xml:space="preserve">. </w:t>
      </w:r>
      <w:r w:rsidRPr="005E293F">
        <w:rPr>
          <w:color w:val="000000" w:themeColor="text1"/>
          <w:sz w:val="24"/>
          <w:szCs w:val="24"/>
          <w:lang w:val="nl-NL"/>
        </w:rPr>
        <w:t xml:space="preserve">De economische groei wordt berekend aan de hand van de volumegroei in het productieproces en de conjunctuurontwikkeling. Deze gegevens zijn nog voorlopig, omdat nog niet over volledige gegevens van alle bedrijfstakken kan worden beschikt. De economische indicatoren zijn </w:t>
      </w:r>
      <w:r w:rsidRPr="006C66D1">
        <w:rPr>
          <w:sz w:val="24"/>
          <w:szCs w:val="24"/>
          <w:lang w:val="nl-NL"/>
        </w:rPr>
        <w:t xml:space="preserve">statistieken die de huidige status van de economie van een land aangeven, </w:t>
      </w:r>
      <w:r w:rsidRPr="006C66D1">
        <w:rPr>
          <w:sz w:val="24"/>
          <w:szCs w:val="24"/>
          <w:lang w:val="nl-NL"/>
        </w:rPr>
        <w:lastRenderedPageBreak/>
        <w:t xml:space="preserve">afhankelijk van een bepaald gebied van de economie (zoals de industrie, de werkgelegenheid, de </w:t>
      </w:r>
      <w:r w:rsidR="009F32EB">
        <w:rPr>
          <w:sz w:val="24"/>
          <w:szCs w:val="24"/>
          <w:lang w:val="nl-NL"/>
        </w:rPr>
        <w:t>prijzen</w:t>
      </w:r>
      <w:r w:rsidRPr="006C66D1">
        <w:rPr>
          <w:sz w:val="24"/>
          <w:szCs w:val="24"/>
          <w:lang w:val="nl-NL"/>
        </w:rPr>
        <w:t xml:space="preserve">, etc.). </w:t>
      </w:r>
    </w:p>
    <w:p w14:paraId="3B592A95" w14:textId="77777777" w:rsidR="00B4267E" w:rsidRPr="006C66D1" w:rsidRDefault="00974798" w:rsidP="00960EDE">
      <w:pPr>
        <w:pStyle w:val="Heading2"/>
        <w:rPr>
          <w:i/>
          <w:sz w:val="24"/>
          <w:szCs w:val="24"/>
          <w:lang w:val="nl-NL"/>
        </w:rPr>
      </w:pPr>
      <w:r w:rsidRPr="006C66D1">
        <w:rPr>
          <w:lang w:val="nl-NL"/>
        </w:rPr>
        <w:t>De economische ontwikkeling</w:t>
      </w:r>
      <w:r w:rsidR="00FE3F4D">
        <w:rPr>
          <w:lang w:val="nl-NL"/>
        </w:rPr>
        <w:t xml:space="preserve"> per bedrijfstak</w:t>
      </w:r>
      <w:r w:rsidRPr="006C66D1">
        <w:rPr>
          <w:lang w:val="nl-NL"/>
        </w:rPr>
        <w:t xml:space="preserve"> </w:t>
      </w:r>
    </w:p>
    <w:p w14:paraId="66C37656" w14:textId="77777777" w:rsidR="000E124E" w:rsidRDefault="00920232" w:rsidP="00D20241">
      <w:pPr>
        <w:jc w:val="both"/>
        <w:rPr>
          <w:sz w:val="24"/>
          <w:szCs w:val="24"/>
          <w:lang w:val="nl-NL"/>
        </w:rPr>
      </w:pPr>
      <w:r w:rsidRPr="00920232">
        <w:rPr>
          <w:sz w:val="24"/>
          <w:szCs w:val="24"/>
          <w:lang w:val="nl-NL"/>
        </w:rPr>
        <w:t xml:space="preserve">De COVID-19-pandemie heeft in </w:t>
      </w:r>
      <w:r w:rsidR="003C6098">
        <w:rPr>
          <w:sz w:val="24"/>
          <w:szCs w:val="24"/>
          <w:lang w:val="nl-NL"/>
        </w:rPr>
        <w:t>2020 een negatief</w:t>
      </w:r>
      <w:r w:rsidRPr="00920232">
        <w:rPr>
          <w:sz w:val="24"/>
          <w:szCs w:val="24"/>
          <w:lang w:val="nl-NL"/>
        </w:rPr>
        <w:t xml:space="preserve"> effect gehad op de bedrijvigheid</w:t>
      </w:r>
      <w:r>
        <w:rPr>
          <w:sz w:val="24"/>
          <w:szCs w:val="24"/>
          <w:lang w:val="nl-NL"/>
        </w:rPr>
        <w:t xml:space="preserve"> op Curaçao dit is in verband met de verschillende maatregelen om </w:t>
      </w:r>
      <w:r w:rsidR="000E124E">
        <w:rPr>
          <w:sz w:val="24"/>
          <w:szCs w:val="24"/>
          <w:lang w:val="nl-NL"/>
        </w:rPr>
        <w:t>onze</w:t>
      </w:r>
      <w:r>
        <w:rPr>
          <w:sz w:val="24"/>
          <w:szCs w:val="24"/>
          <w:lang w:val="nl-NL"/>
        </w:rPr>
        <w:t xml:space="preserve"> </w:t>
      </w:r>
      <w:r w:rsidRPr="00920232">
        <w:rPr>
          <w:sz w:val="24"/>
          <w:szCs w:val="24"/>
          <w:lang w:val="nl-NL"/>
        </w:rPr>
        <w:t xml:space="preserve">zorgstelsels </w:t>
      </w:r>
      <w:r>
        <w:rPr>
          <w:sz w:val="24"/>
          <w:szCs w:val="24"/>
          <w:lang w:val="nl-NL"/>
        </w:rPr>
        <w:t>in</w:t>
      </w:r>
      <w:r w:rsidRPr="00920232">
        <w:rPr>
          <w:sz w:val="24"/>
          <w:szCs w:val="24"/>
          <w:lang w:val="nl-NL"/>
        </w:rPr>
        <w:t xml:space="preserve"> voldoende toegerust</w:t>
      </w:r>
      <w:r>
        <w:rPr>
          <w:sz w:val="24"/>
          <w:szCs w:val="24"/>
          <w:lang w:val="nl-NL"/>
        </w:rPr>
        <w:t xml:space="preserve"> </w:t>
      </w:r>
      <w:r w:rsidR="000E124E">
        <w:rPr>
          <w:sz w:val="24"/>
          <w:szCs w:val="24"/>
          <w:lang w:val="nl-NL"/>
        </w:rPr>
        <w:t>te bereiden en voorzorg handeling te nemen</w:t>
      </w:r>
      <w:r>
        <w:rPr>
          <w:sz w:val="24"/>
          <w:szCs w:val="24"/>
          <w:lang w:val="nl-NL"/>
        </w:rPr>
        <w:t xml:space="preserve"> ter minimaliseren van de verspreiding</w:t>
      </w:r>
      <w:r w:rsidR="000E124E">
        <w:rPr>
          <w:sz w:val="24"/>
          <w:szCs w:val="24"/>
          <w:lang w:val="nl-NL"/>
        </w:rPr>
        <w:t xml:space="preserve"> van </w:t>
      </w:r>
      <w:r w:rsidR="00604687">
        <w:rPr>
          <w:sz w:val="24"/>
          <w:szCs w:val="24"/>
          <w:lang w:val="nl-NL"/>
        </w:rPr>
        <w:t>het</w:t>
      </w:r>
      <w:r w:rsidR="000E124E">
        <w:rPr>
          <w:sz w:val="24"/>
          <w:szCs w:val="24"/>
          <w:lang w:val="nl-NL"/>
        </w:rPr>
        <w:t xml:space="preserve"> virus</w:t>
      </w:r>
      <w:r>
        <w:rPr>
          <w:sz w:val="24"/>
          <w:szCs w:val="24"/>
          <w:lang w:val="nl-NL"/>
        </w:rPr>
        <w:t xml:space="preserve">. </w:t>
      </w:r>
      <w:r w:rsidR="000E124E">
        <w:rPr>
          <w:sz w:val="24"/>
          <w:szCs w:val="24"/>
          <w:lang w:val="nl-NL"/>
        </w:rPr>
        <w:t xml:space="preserve">Dit leidde tot de </w:t>
      </w:r>
      <w:r w:rsidR="00604687">
        <w:rPr>
          <w:sz w:val="24"/>
          <w:szCs w:val="24"/>
          <w:lang w:val="nl-NL"/>
        </w:rPr>
        <w:t>totale</w:t>
      </w:r>
      <w:r w:rsidR="000E124E">
        <w:rPr>
          <w:sz w:val="24"/>
          <w:szCs w:val="24"/>
          <w:lang w:val="nl-NL"/>
        </w:rPr>
        <w:t xml:space="preserve"> ‘lockdown’ van het land in essentie de bedrijvigheid van de economie. Over de hele linie van </w:t>
      </w:r>
      <w:r w:rsidR="000E124E" w:rsidRPr="000E124E">
        <w:rPr>
          <w:sz w:val="24"/>
          <w:szCs w:val="24"/>
          <w:lang w:val="nl-NL"/>
        </w:rPr>
        <w:t xml:space="preserve">economische activiteiten heeft voornamelijk </w:t>
      </w:r>
      <w:r w:rsidR="000E124E">
        <w:rPr>
          <w:sz w:val="24"/>
          <w:szCs w:val="24"/>
          <w:lang w:val="nl-NL"/>
        </w:rPr>
        <w:t xml:space="preserve">geen reële groei </w:t>
      </w:r>
      <w:r w:rsidR="000E124E" w:rsidRPr="000E124E">
        <w:rPr>
          <w:sz w:val="24"/>
          <w:szCs w:val="24"/>
          <w:lang w:val="nl-NL"/>
        </w:rPr>
        <w:t>plaatsgevonden</w:t>
      </w:r>
      <w:r w:rsidR="000E124E">
        <w:rPr>
          <w:sz w:val="24"/>
          <w:szCs w:val="24"/>
          <w:lang w:val="nl-NL"/>
        </w:rPr>
        <w:t>, maar een economische krimp.</w:t>
      </w:r>
    </w:p>
    <w:p w14:paraId="739FAF3C" w14:textId="77777777" w:rsidR="000E124E" w:rsidRDefault="000E124E" w:rsidP="00D20241">
      <w:pPr>
        <w:jc w:val="both"/>
        <w:rPr>
          <w:sz w:val="24"/>
          <w:szCs w:val="24"/>
          <w:lang w:val="nl-NL"/>
        </w:rPr>
      </w:pPr>
      <w:r w:rsidRPr="000E124E">
        <w:rPr>
          <w:sz w:val="24"/>
          <w:szCs w:val="24"/>
          <w:lang w:val="nl-NL"/>
        </w:rPr>
        <w:t xml:space="preserve">De toegevoegde waarde van </w:t>
      </w:r>
      <w:r w:rsidRPr="000E124E">
        <w:rPr>
          <w:i/>
          <w:sz w:val="24"/>
          <w:szCs w:val="24"/>
          <w:lang w:val="nl-NL"/>
        </w:rPr>
        <w:t>Landbouw, visserij en mijnbouw</w:t>
      </w:r>
      <w:r w:rsidRPr="000E124E">
        <w:rPr>
          <w:sz w:val="24"/>
          <w:szCs w:val="24"/>
          <w:lang w:val="nl-NL"/>
        </w:rPr>
        <w:t xml:space="preserve"> is ge</w:t>
      </w:r>
      <w:r>
        <w:rPr>
          <w:sz w:val="24"/>
          <w:szCs w:val="24"/>
          <w:lang w:val="nl-NL"/>
        </w:rPr>
        <w:t>daal</w:t>
      </w:r>
      <w:r w:rsidRPr="000E124E">
        <w:rPr>
          <w:sz w:val="24"/>
          <w:szCs w:val="24"/>
          <w:lang w:val="nl-NL"/>
        </w:rPr>
        <w:t xml:space="preserve">d met </w:t>
      </w:r>
      <w:r w:rsidR="005E293F">
        <w:rPr>
          <w:sz w:val="24"/>
          <w:szCs w:val="24"/>
          <w:lang w:val="nl-NL"/>
        </w:rPr>
        <w:t>bijna 3</w:t>
      </w:r>
      <w:r w:rsidRPr="000E124E">
        <w:rPr>
          <w:sz w:val="24"/>
          <w:szCs w:val="24"/>
          <w:lang w:val="nl-NL"/>
        </w:rPr>
        <w:t xml:space="preserve"> procent in 20</w:t>
      </w:r>
      <w:r>
        <w:rPr>
          <w:sz w:val="24"/>
          <w:szCs w:val="24"/>
          <w:lang w:val="nl-NL"/>
        </w:rPr>
        <w:t>20</w:t>
      </w:r>
      <w:r w:rsidRPr="000E124E">
        <w:rPr>
          <w:sz w:val="24"/>
          <w:szCs w:val="24"/>
          <w:lang w:val="nl-NL"/>
        </w:rPr>
        <w:t xml:space="preserve">, in het voorgaand jaar was er een </w:t>
      </w:r>
      <w:r w:rsidR="005E293F">
        <w:rPr>
          <w:sz w:val="24"/>
          <w:szCs w:val="24"/>
          <w:lang w:val="nl-NL"/>
        </w:rPr>
        <w:t xml:space="preserve">ook een </w:t>
      </w:r>
      <w:r w:rsidRPr="000E124E">
        <w:rPr>
          <w:sz w:val="24"/>
          <w:szCs w:val="24"/>
          <w:lang w:val="nl-NL"/>
        </w:rPr>
        <w:t xml:space="preserve">daling </w:t>
      </w:r>
      <w:r w:rsidR="005E293F">
        <w:rPr>
          <w:sz w:val="24"/>
          <w:szCs w:val="24"/>
          <w:lang w:val="nl-NL"/>
        </w:rPr>
        <w:t>waargenomen (-</w:t>
      </w:r>
      <w:r w:rsidR="00604687">
        <w:rPr>
          <w:sz w:val="24"/>
          <w:szCs w:val="24"/>
          <w:lang w:val="nl-NL"/>
        </w:rPr>
        <w:t>5,5</w:t>
      </w:r>
      <w:r w:rsidR="005E293F">
        <w:rPr>
          <w:sz w:val="24"/>
          <w:szCs w:val="24"/>
          <w:lang w:val="nl-NL"/>
        </w:rPr>
        <w:t xml:space="preserve"> %)</w:t>
      </w:r>
      <w:r w:rsidRPr="000E124E">
        <w:rPr>
          <w:sz w:val="24"/>
          <w:szCs w:val="24"/>
          <w:lang w:val="nl-NL"/>
        </w:rPr>
        <w:t>.</w:t>
      </w:r>
    </w:p>
    <w:p w14:paraId="50128383" w14:textId="77777777" w:rsidR="00604687" w:rsidRPr="00B84005" w:rsidRDefault="00604687" w:rsidP="00604687">
      <w:pPr>
        <w:jc w:val="both"/>
        <w:rPr>
          <w:sz w:val="24"/>
          <w:szCs w:val="24"/>
          <w:lang w:val="nl-NL"/>
        </w:rPr>
      </w:pPr>
      <w:r>
        <w:rPr>
          <w:sz w:val="24"/>
          <w:szCs w:val="24"/>
          <w:lang w:val="nl-NL"/>
        </w:rPr>
        <w:t>De voortdurende tekortkoming van de i</w:t>
      </w:r>
      <w:r w:rsidRPr="00A7390C">
        <w:rPr>
          <w:sz w:val="24"/>
          <w:szCs w:val="24"/>
          <w:lang w:val="nl-NL"/>
        </w:rPr>
        <w:t>ndustri</w:t>
      </w:r>
      <w:r>
        <w:rPr>
          <w:rFonts w:cs="Calibri"/>
          <w:sz w:val="24"/>
          <w:szCs w:val="24"/>
          <w:lang w:val="nl-NL"/>
        </w:rPr>
        <w:t>ë</w:t>
      </w:r>
      <w:r w:rsidRPr="00A7390C">
        <w:rPr>
          <w:sz w:val="24"/>
          <w:szCs w:val="24"/>
          <w:lang w:val="nl-NL"/>
        </w:rPr>
        <w:t>le activiteiten</w:t>
      </w:r>
      <w:r w:rsidRPr="00B84005">
        <w:rPr>
          <w:sz w:val="24"/>
          <w:szCs w:val="24"/>
          <w:lang w:val="nl-NL"/>
        </w:rPr>
        <w:t xml:space="preserve"> zet</w:t>
      </w:r>
      <w:r>
        <w:rPr>
          <w:sz w:val="24"/>
          <w:szCs w:val="24"/>
          <w:lang w:val="nl-NL"/>
        </w:rPr>
        <w:t>ten</w:t>
      </w:r>
      <w:r w:rsidRPr="00B84005">
        <w:rPr>
          <w:sz w:val="24"/>
          <w:szCs w:val="24"/>
          <w:lang w:val="nl-NL"/>
        </w:rPr>
        <w:t xml:space="preserve"> door in</w:t>
      </w:r>
      <w:r>
        <w:rPr>
          <w:sz w:val="24"/>
          <w:szCs w:val="24"/>
          <w:lang w:val="nl-NL"/>
        </w:rPr>
        <w:t xml:space="preserve"> een daling </w:t>
      </w:r>
      <w:r w:rsidRPr="00657DBD">
        <w:rPr>
          <w:sz w:val="24"/>
          <w:szCs w:val="24"/>
          <w:lang w:val="nl-NL"/>
        </w:rPr>
        <w:t xml:space="preserve">van </w:t>
      </w:r>
      <w:r>
        <w:rPr>
          <w:sz w:val="24"/>
          <w:szCs w:val="24"/>
          <w:lang w:val="nl-NL"/>
        </w:rPr>
        <w:t>56</w:t>
      </w:r>
      <w:r w:rsidRPr="00657DBD">
        <w:rPr>
          <w:sz w:val="24"/>
          <w:szCs w:val="24"/>
          <w:lang w:val="nl-NL"/>
        </w:rPr>
        <w:t xml:space="preserve"> </w:t>
      </w:r>
      <w:r w:rsidRPr="00B84005">
        <w:rPr>
          <w:sz w:val="24"/>
          <w:szCs w:val="24"/>
          <w:lang w:val="nl-NL"/>
        </w:rPr>
        <w:t>procent</w:t>
      </w:r>
      <w:r>
        <w:rPr>
          <w:sz w:val="24"/>
          <w:szCs w:val="24"/>
          <w:lang w:val="nl-NL"/>
        </w:rPr>
        <w:t xml:space="preserve"> in de bedrijfstak </w:t>
      </w:r>
      <w:r w:rsidRPr="00A7390C">
        <w:rPr>
          <w:i/>
          <w:sz w:val="24"/>
          <w:szCs w:val="24"/>
          <w:lang w:val="nl-NL"/>
        </w:rPr>
        <w:t>Industrie.</w:t>
      </w:r>
      <w:r w:rsidR="00E204C5">
        <w:rPr>
          <w:sz w:val="24"/>
          <w:szCs w:val="24"/>
          <w:lang w:val="nl-NL"/>
        </w:rPr>
        <w:t xml:space="preserve"> De oorzaak is het uitvallen van </w:t>
      </w:r>
      <w:r w:rsidRPr="00B84005">
        <w:rPr>
          <w:sz w:val="24"/>
          <w:szCs w:val="24"/>
          <w:lang w:val="nl-NL"/>
        </w:rPr>
        <w:t>de olieraffinage activiteiten</w:t>
      </w:r>
      <w:r w:rsidR="005E293F">
        <w:rPr>
          <w:sz w:val="24"/>
          <w:szCs w:val="24"/>
          <w:lang w:val="nl-NL"/>
        </w:rPr>
        <w:t xml:space="preserve"> in 2020.</w:t>
      </w:r>
      <w:r w:rsidR="00E204C5">
        <w:rPr>
          <w:sz w:val="24"/>
          <w:szCs w:val="24"/>
          <w:lang w:val="nl-NL"/>
        </w:rPr>
        <w:t xml:space="preserve"> </w:t>
      </w:r>
      <w:r w:rsidR="00D82D05">
        <w:rPr>
          <w:sz w:val="24"/>
          <w:szCs w:val="24"/>
          <w:lang w:val="nl-NL"/>
        </w:rPr>
        <w:t>A</w:t>
      </w:r>
      <w:r w:rsidR="00E204C5">
        <w:rPr>
          <w:sz w:val="24"/>
          <w:szCs w:val="24"/>
          <w:lang w:val="nl-NL"/>
        </w:rPr>
        <w:t xml:space="preserve">ndere industriële bedrijvigheid </w:t>
      </w:r>
      <w:r w:rsidR="00D82D05">
        <w:rPr>
          <w:sz w:val="24"/>
          <w:szCs w:val="24"/>
          <w:lang w:val="nl-NL"/>
        </w:rPr>
        <w:t xml:space="preserve">in deze bedrijfstak </w:t>
      </w:r>
      <w:r w:rsidR="00E204C5">
        <w:rPr>
          <w:sz w:val="24"/>
          <w:szCs w:val="24"/>
          <w:lang w:val="nl-NL"/>
        </w:rPr>
        <w:t xml:space="preserve">die </w:t>
      </w:r>
      <w:r>
        <w:rPr>
          <w:sz w:val="24"/>
          <w:szCs w:val="24"/>
          <w:lang w:val="nl-NL"/>
        </w:rPr>
        <w:t>zijn gedaald</w:t>
      </w:r>
      <w:r w:rsidR="00D82D05">
        <w:rPr>
          <w:sz w:val="24"/>
          <w:szCs w:val="24"/>
          <w:lang w:val="nl-NL"/>
        </w:rPr>
        <w:t xml:space="preserve"> gezien hun afzetmarkt die ook tijdelijk </w:t>
      </w:r>
      <w:r w:rsidR="002C595C">
        <w:rPr>
          <w:sz w:val="24"/>
          <w:szCs w:val="24"/>
          <w:lang w:val="nl-NL"/>
        </w:rPr>
        <w:t xml:space="preserve">zijn </w:t>
      </w:r>
      <w:r w:rsidR="00D82D05">
        <w:rPr>
          <w:sz w:val="24"/>
          <w:szCs w:val="24"/>
          <w:lang w:val="nl-NL"/>
        </w:rPr>
        <w:t>gesloten.</w:t>
      </w:r>
      <w:r>
        <w:rPr>
          <w:sz w:val="24"/>
          <w:szCs w:val="24"/>
          <w:lang w:val="nl-NL"/>
        </w:rPr>
        <w:t xml:space="preserve"> </w:t>
      </w:r>
    </w:p>
    <w:p w14:paraId="714C1606" w14:textId="77777777" w:rsidR="003C6098" w:rsidRDefault="00D82D05" w:rsidP="00D82D05">
      <w:pPr>
        <w:jc w:val="both"/>
        <w:rPr>
          <w:sz w:val="24"/>
          <w:szCs w:val="24"/>
          <w:lang w:val="nl-NL"/>
        </w:rPr>
      </w:pPr>
      <w:r w:rsidRPr="00D82D05">
        <w:rPr>
          <w:sz w:val="24"/>
          <w:szCs w:val="24"/>
          <w:lang w:val="nl-NL"/>
        </w:rPr>
        <w:t xml:space="preserve">De </w:t>
      </w:r>
      <w:r w:rsidRPr="00D82D05">
        <w:rPr>
          <w:i/>
          <w:sz w:val="24"/>
          <w:szCs w:val="24"/>
          <w:lang w:val="nl-NL"/>
        </w:rPr>
        <w:t>Utiliteits</w:t>
      </w:r>
      <w:r>
        <w:rPr>
          <w:sz w:val="24"/>
          <w:szCs w:val="24"/>
          <w:lang w:val="nl-NL"/>
        </w:rPr>
        <w:t>sector</w:t>
      </w:r>
      <w:r w:rsidRPr="00D82D05">
        <w:rPr>
          <w:sz w:val="24"/>
          <w:szCs w:val="24"/>
          <w:lang w:val="nl-NL"/>
        </w:rPr>
        <w:t xml:space="preserve"> (bestaande uit productie en distributie van elektriciteit, water en gas) vertoont een </w:t>
      </w:r>
      <w:r w:rsidR="009F1E62">
        <w:rPr>
          <w:sz w:val="24"/>
          <w:szCs w:val="24"/>
          <w:lang w:val="nl-NL"/>
        </w:rPr>
        <w:t>af</w:t>
      </w:r>
      <w:r w:rsidRPr="00D82D05">
        <w:rPr>
          <w:sz w:val="24"/>
          <w:szCs w:val="24"/>
          <w:lang w:val="nl-NL"/>
        </w:rPr>
        <w:t xml:space="preserve">name van </w:t>
      </w:r>
      <w:r w:rsidR="005E293F">
        <w:rPr>
          <w:sz w:val="24"/>
          <w:szCs w:val="24"/>
          <w:lang w:val="nl-NL"/>
        </w:rPr>
        <w:t xml:space="preserve">ruim </w:t>
      </w:r>
      <w:r w:rsidR="00426EED">
        <w:rPr>
          <w:sz w:val="24"/>
          <w:szCs w:val="24"/>
          <w:lang w:val="nl-NL"/>
        </w:rPr>
        <w:t>6</w:t>
      </w:r>
      <w:r w:rsidRPr="00D82D05">
        <w:rPr>
          <w:sz w:val="24"/>
          <w:szCs w:val="24"/>
          <w:lang w:val="nl-NL"/>
        </w:rPr>
        <w:t xml:space="preserve"> procent in 20</w:t>
      </w:r>
      <w:r w:rsidR="00426EED">
        <w:rPr>
          <w:sz w:val="24"/>
          <w:szCs w:val="24"/>
          <w:lang w:val="nl-NL"/>
        </w:rPr>
        <w:t>20</w:t>
      </w:r>
      <w:r w:rsidRPr="00D82D05">
        <w:rPr>
          <w:sz w:val="24"/>
          <w:szCs w:val="24"/>
          <w:lang w:val="nl-NL"/>
        </w:rPr>
        <w:t xml:space="preserve">. In deze bedrijfstak is er een </w:t>
      </w:r>
      <w:r w:rsidR="00426EED" w:rsidRPr="00D82D05">
        <w:rPr>
          <w:sz w:val="24"/>
          <w:szCs w:val="24"/>
          <w:lang w:val="nl-NL"/>
        </w:rPr>
        <w:t>afn</w:t>
      </w:r>
      <w:r w:rsidR="00426EED">
        <w:rPr>
          <w:sz w:val="24"/>
          <w:szCs w:val="24"/>
          <w:lang w:val="nl-NL"/>
        </w:rPr>
        <w:t>em</w:t>
      </w:r>
      <w:r w:rsidR="00426EED" w:rsidRPr="00D82D05">
        <w:rPr>
          <w:sz w:val="24"/>
          <w:szCs w:val="24"/>
          <w:lang w:val="nl-NL"/>
        </w:rPr>
        <w:t>ing</w:t>
      </w:r>
      <w:r w:rsidRPr="00D82D05">
        <w:rPr>
          <w:sz w:val="24"/>
          <w:szCs w:val="24"/>
          <w:lang w:val="nl-NL"/>
        </w:rPr>
        <w:t xml:space="preserve"> in de volume-activiteit waargenomen van elektriciteit</w:t>
      </w:r>
      <w:r w:rsidR="002C595C">
        <w:rPr>
          <w:sz w:val="24"/>
          <w:szCs w:val="24"/>
          <w:lang w:val="nl-NL"/>
        </w:rPr>
        <w:t xml:space="preserve"> en</w:t>
      </w:r>
      <w:r w:rsidRPr="00D82D05">
        <w:rPr>
          <w:sz w:val="24"/>
          <w:szCs w:val="24"/>
          <w:lang w:val="nl-NL"/>
        </w:rPr>
        <w:t xml:space="preserve"> een daling in de productie van water. </w:t>
      </w:r>
    </w:p>
    <w:p w14:paraId="0EF5D16E" w14:textId="77777777" w:rsidR="00604687" w:rsidRDefault="00D82D05" w:rsidP="00D82D05">
      <w:pPr>
        <w:jc w:val="both"/>
        <w:rPr>
          <w:sz w:val="24"/>
          <w:szCs w:val="24"/>
          <w:lang w:val="nl-NL"/>
        </w:rPr>
      </w:pPr>
      <w:r w:rsidRPr="00D82D05">
        <w:rPr>
          <w:sz w:val="24"/>
          <w:szCs w:val="24"/>
          <w:lang w:val="nl-NL"/>
        </w:rPr>
        <w:t xml:space="preserve">Activiteiten in de </w:t>
      </w:r>
      <w:r w:rsidR="00D416A7" w:rsidRPr="00D416A7">
        <w:rPr>
          <w:i/>
          <w:sz w:val="24"/>
          <w:szCs w:val="24"/>
          <w:lang w:val="nl-NL"/>
        </w:rPr>
        <w:t>B</w:t>
      </w:r>
      <w:r w:rsidRPr="00E16F1D">
        <w:rPr>
          <w:i/>
          <w:sz w:val="24"/>
          <w:szCs w:val="24"/>
          <w:lang w:val="nl-NL"/>
        </w:rPr>
        <w:t>ouw</w:t>
      </w:r>
      <w:r w:rsidR="000B75F1">
        <w:rPr>
          <w:sz w:val="24"/>
          <w:szCs w:val="24"/>
          <w:lang w:val="nl-NL"/>
        </w:rPr>
        <w:t xml:space="preserve"> zette</w:t>
      </w:r>
      <w:r w:rsidRPr="00D82D05">
        <w:rPr>
          <w:sz w:val="24"/>
          <w:szCs w:val="24"/>
          <w:lang w:val="nl-NL"/>
        </w:rPr>
        <w:t xml:space="preserve"> zich voo</w:t>
      </w:r>
      <w:r w:rsidR="0045054C">
        <w:rPr>
          <w:sz w:val="24"/>
          <w:szCs w:val="24"/>
          <w:lang w:val="nl-NL"/>
        </w:rPr>
        <w:t>rt in een dalende situatie van 6</w:t>
      </w:r>
      <w:r w:rsidRPr="00D82D05">
        <w:rPr>
          <w:sz w:val="24"/>
          <w:szCs w:val="24"/>
          <w:lang w:val="nl-NL"/>
        </w:rPr>
        <w:t xml:space="preserve"> procent v</w:t>
      </w:r>
      <w:r w:rsidR="005165AA">
        <w:rPr>
          <w:sz w:val="24"/>
          <w:szCs w:val="24"/>
          <w:lang w:val="nl-NL"/>
        </w:rPr>
        <w:t xml:space="preserve">ergeleken met de </w:t>
      </w:r>
      <w:r w:rsidRPr="00D82D05">
        <w:rPr>
          <w:sz w:val="24"/>
          <w:szCs w:val="24"/>
          <w:lang w:val="nl-NL"/>
        </w:rPr>
        <w:t>achteruitgang van het jaar daarvoor</w:t>
      </w:r>
      <w:r w:rsidR="005E293F">
        <w:rPr>
          <w:sz w:val="24"/>
          <w:szCs w:val="24"/>
          <w:lang w:val="nl-NL"/>
        </w:rPr>
        <w:t xml:space="preserve"> </w:t>
      </w:r>
      <w:r w:rsidR="008F6C34">
        <w:rPr>
          <w:sz w:val="24"/>
          <w:szCs w:val="24"/>
          <w:lang w:val="nl-NL"/>
        </w:rPr>
        <w:t>van bijna 10 procent</w:t>
      </w:r>
      <w:r w:rsidRPr="00D82D05">
        <w:rPr>
          <w:sz w:val="24"/>
          <w:szCs w:val="24"/>
          <w:lang w:val="nl-NL"/>
        </w:rPr>
        <w:t xml:space="preserve">. Deze negatieve prestatie kan worden toegeschreven aan de </w:t>
      </w:r>
      <w:r w:rsidR="00E16F1D">
        <w:rPr>
          <w:sz w:val="24"/>
          <w:szCs w:val="24"/>
          <w:lang w:val="nl-NL"/>
        </w:rPr>
        <w:t xml:space="preserve">maatregelen van </w:t>
      </w:r>
      <w:r w:rsidR="00836A5A">
        <w:rPr>
          <w:sz w:val="24"/>
          <w:szCs w:val="24"/>
          <w:lang w:val="nl-NL"/>
        </w:rPr>
        <w:t>stopzetting van de bouw voor een periode</w:t>
      </w:r>
      <w:r w:rsidR="00E16F1D">
        <w:rPr>
          <w:sz w:val="24"/>
          <w:szCs w:val="24"/>
          <w:lang w:val="nl-NL"/>
        </w:rPr>
        <w:t xml:space="preserve"> in verband met de pandemie</w:t>
      </w:r>
      <w:r w:rsidR="00836A5A">
        <w:rPr>
          <w:sz w:val="24"/>
          <w:szCs w:val="24"/>
          <w:lang w:val="nl-NL"/>
        </w:rPr>
        <w:t xml:space="preserve">, </w:t>
      </w:r>
      <w:r w:rsidR="00836A5A" w:rsidRPr="00836A5A">
        <w:rPr>
          <w:sz w:val="24"/>
          <w:szCs w:val="24"/>
          <w:lang w:val="nl-NL"/>
        </w:rPr>
        <w:t xml:space="preserve">dalingen in de </w:t>
      </w:r>
      <w:r w:rsidRPr="00D82D05">
        <w:rPr>
          <w:sz w:val="24"/>
          <w:szCs w:val="24"/>
          <w:lang w:val="nl-NL"/>
        </w:rPr>
        <w:t>import van constructiematerialen, en daling in productie van zand en blokken.</w:t>
      </w:r>
    </w:p>
    <w:p w14:paraId="07701625" w14:textId="77777777" w:rsidR="00404B0D" w:rsidRPr="00404B0D" w:rsidRDefault="00404B0D" w:rsidP="00404B0D">
      <w:pPr>
        <w:jc w:val="both"/>
        <w:rPr>
          <w:sz w:val="24"/>
          <w:szCs w:val="24"/>
          <w:lang w:val="nl-NL"/>
        </w:rPr>
      </w:pPr>
      <w:r w:rsidRPr="00404B0D">
        <w:rPr>
          <w:sz w:val="24"/>
          <w:szCs w:val="24"/>
          <w:lang w:val="nl-NL"/>
        </w:rPr>
        <w:t xml:space="preserve">De activiteiten in de </w:t>
      </w:r>
      <w:r w:rsidRPr="00D416A7">
        <w:rPr>
          <w:i/>
          <w:sz w:val="24"/>
          <w:szCs w:val="24"/>
          <w:lang w:val="nl-NL"/>
        </w:rPr>
        <w:t>Handel</w:t>
      </w:r>
      <w:r w:rsidRPr="00404B0D">
        <w:rPr>
          <w:sz w:val="24"/>
          <w:szCs w:val="24"/>
          <w:lang w:val="nl-NL"/>
        </w:rPr>
        <w:t xml:space="preserve"> zijn sterk</w:t>
      </w:r>
      <w:r w:rsidR="001776A9">
        <w:rPr>
          <w:sz w:val="24"/>
          <w:szCs w:val="24"/>
          <w:lang w:val="nl-NL"/>
        </w:rPr>
        <w:t xml:space="preserve"> a</w:t>
      </w:r>
      <w:r w:rsidRPr="00404B0D">
        <w:rPr>
          <w:sz w:val="24"/>
          <w:szCs w:val="24"/>
          <w:lang w:val="nl-NL"/>
        </w:rPr>
        <w:t xml:space="preserve">fgenomen met </w:t>
      </w:r>
      <w:r w:rsidR="008F6C34">
        <w:rPr>
          <w:sz w:val="24"/>
          <w:szCs w:val="24"/>
          <w:lang w:val="nl-NL"/>
        </w:rPr>
        <w:t xml:space="preserve">bijna </w:t>
      </w:r>
      <w:r>
        <w:rPr>
          <w:sz w:val="24"/>
          <w:szCs w:val="24"/>
          <w:lang w:val="nl-NL"/>
        </w:rPr>
        <w:t>2</w:t>
      </w:r>
      <w:r w:rsidR="008F6C34">
        <w:rPr>
          <w:sz w:val="24"/>
          <w:szCs w:val="24"/>
          <w:lang w:val="nl-NL"/>
        </w:rPr>
        <w:t>1</w:t>
      </w:r>
      <w:r w:rsidRPr="00404B0D">
        <w:rPr>
          <w:sz w:val="24"/>
          <w:szCs w:val="24"/>
          <w:lang w:val="nl-NL"/>
        </w:rPr>
        <w:t xml:space="preserve"> procent, ten opzichte van het voorgaande jaar (-1</w:t>
      </w:r>
      <w:r w:rsidR="00E16F1D">
        <w:rPr>
          <w:sz w:val="24"/>
          <w:szCs w:val="24"/>
          <w:lang w:val="nl-NL"/>
        </w:rPr>
        <w:t>3</w:t>
      </w:r>
      <w:r w:rsidRPr="00404B0D">
        <w:rPr>
          <w:sz w:val="24"/>
          <w:szCs w:val="24"/>
          <w:lang w:val="nl-NL"/>
        </w:rPr>
        <w:t>,</w:t>
      </w:r>
      <w:r w:rsidR="00E16F1D">
        <w:rPr>
          <w:sz w:val="24"/>
          <w:szCs w:val="24"/>
          <w:lang w:val="nl-NL"/>
        </w:rPr>
        <w:t>7</w:t>
      </w:r>
      <w:r w:rsidRPr="00404B0D">
        <w:rPr>
          <w:sz w:val="24"/>
          <w:szCs w:val="24"/>
          <w:lang w:val="nl-NL"/>
        </w:rPr>
        <w:t>%). De daling is veroorzaakt door een afname van de goedereninvoer en de verschillende handelsactiviteiten van de bedrijven.</w:t>
      </w:r>
    </w:p>
    <w:p w14:paraId="720E5138" w14:textId="77777777" w:rsidR="000E124E" w:rsidRDefault="00404B0D" w:rsidP="00404B0D">
      <w:pPr>
        <w:jc w:val="both"/>
        <w:rPr>
          <w:sz w:val="24"/>
          <w:szCs w:val="24"/>
          <w:lang w:val="nl-NL"/>
        </w:rPr>
      </w:pPr>
      <w:r w:rsidRPr="00404B0D">
        <w:rPr>
          <w:sz w:val="24"/>
          <w:szCs w:val="24"/>
          <w:lang w:val="nl-NL"/>
        </w:rPr>
        <w:t xml:space="preserve">De trend in de bedrijfstak </w:t>
      </w:r>
      <w:r w:rsidRPr="00D416A7">
        <w:rPr>
          <w:i/>
          <w:sz w:val="24"/>
          <w:szCs w:val="24"/>
          <w:lang w:val="nl-NL"/>
        </w:rPr>
        <w:t xml:space="preserve">Transport &amp; Communicatie </w:t>
      </w:r>
      <w:r w:rsidRPr="00404B0D">
        <w:rPr>
          <w:sz w:val="24"/>
          <w:szCs w:val="24"/>
          <w:lang w:val="nl-NL"/>
        </w:rPr>
        <w:t xml:space="preserve">vertoont een doorzettende daling van </w:t>
      </w:r>
      <w:r w:rsidR="008F6C34">
        <w:rPr>
          <w:sz w:val="24"/>
          <w:szCs w:val="24"/>
          <w:lang w:val="nl-NL"/>
        </w:rPr>
        <w:t>nagenoeg</w:t>
      </w:r>
      <w:r w:rsidR="006D21AD">
        <w:rPr>
          <w:sz w:val="24"/>
          <w:szCs w:val="24"/>
          <w:lang w:val="nl-NL"/>
        </w:rPr>
        <w:t xml:space="preserve"> </w:t>
      </w:r>
      <w:r w:rsidR="006D21AD" w:rsidRPr="00404B0D">
        <w:rPr>
          <w:sz w:val="24"/>
          <w:szCs w:val="24"/>
          <w:lang w:val="nl-NL"/>
        </w:rPr>
        <w:t>23</w:t>
      </w:r>
      <w:r w:rsidRPr="00404B0D">
        <w:rPr>
          <w:sz w:val="24"/>
          <w:szCs w:val="24"/>
          <w:lang w:val="nl-NL"/>
        </w:rPr>
        <w:t xml:space="preserve"> procent in de economische activiteiten ten opzichte van voorgaande jaar. Bij transport zijn de activiteiten in de haven en luchthaven in het algemeen achteruitgegaan. De </w:t>
      </w:r>
      <w:r w:rsidR="008F6C34">
        <w:rPr>
          <w:sz w:val="24"/>
          <w:szCs w:val="24"/>
          <w:lang w:val="nl-NL"/>
        </w:rPr>
        <w:t xml:space="preserve">havenactiviteiten </w:t>
      </w:r>
      <w:r w:rsidRPr="00404B0D">
        <w:rPr>
          <w:sz w:val="24"/>
          <w:szCs w:val="24"/>
          <w:lang w:val="nl-NL"/>
        </w:rPr>
        <w:t xml:space="preserve">zijn voornamelijk zwaar getroffen bij de tankers, andere binnengeloodste schepen zijn </w:t>
      </w:r>
      <w:r w:rsidR="001776A9">
        <w:rPr>
          <w:sz w:val="24"/>
          <w:szCs w:val="24"/>
          <w:lang w:val="nl-NL"/>
        </w:rPr>
        <w:t>ook achte</w:t>
      </w:r>
      <w:r w:rsidRPr="00404B0D">
        <w:rPr>
          <w:sz w:val="24"/>
          <w:szCs w:val="24"/>
          <w:lang w:val="nl-NL"/>
        </w:rPr>
        <w:t xml:space="preserve">ruitgegaan in </w:t>
      </w:r>
      <w:r w:rsidR="005165AA">
        <w:rPr>
          <w:sz w:val="24"/>
          <w:szCs w:val="24"/>
          <w:lang w:val="nl-NL"/>
        </w:rPr>
        <w:t xml:space="preserve">grote </w:t>
      </w:r>
      <w:r w:rsidRPr="00404B0D">
        <w:rPr>
          <w:sz w:val="24"/>
          <w:szCs w:val="24"/>
          <w:lang w:val="nl-NL"/>
        </w:rPr>
        <w:t>aantallen.</w:t>
      </w:r>
      <w:r w:rsidR="00D416A7">
        <w:rPr>
          <w:sz w:val="24"/>
          <w:szCs w:val="24"/>
          <w:lang w:val="nl-NL"/>
        </w:rPr>
        <w:t xml:space="preserve"> Hierbij moet men denken aan de doorgerekende invloed van het uitblijven van een raffinaderij.</w:t>
      </w:r>
      <w:r w:rsidRPr="00404B0D">
        <w:rPr>
          <w:sz w:val="24"/>
          <w:szCs w:val="24"/>
          <w:lang w:val="nl-NL"/>
        </w:rPr>
        <w:t xml:space="preserve"> De cruise calls en het aantal passagiers zijn </w:t>
      </w:r>
      <w:r w:rsidR="006D21AD">
        <w:rPr>
          <w:sz w:val="24"/>
          <w:szCs w:val="24"/>
          <w:lang w:val="nl-NL"/>
        </w:rPr>
        <w:t>nihil geworden</w:t>
      </w:r>
      <w:r w:rsidR="001776A9">
        <w:rPr>
          <w:sz w:val="24"/>
          <w:szCs w:val="24"/>
          <w:lang w:val="nl-NL"/>
        </w:rPr>
        <w:t xml:space="preserve"> </w:t>
      </w:r>
      <w:r w:rsidR="00D416A7">
        <w:rPr>
          <w:sz w:val="24"/>
          <w:szCs w:val="24"/>
          <w:lang w:val="nl-NL"/>
        </w:rPr>
        <w:t xml:space="preserve">vanaf april 2020 </w:t>
      </w:r>
      <w:r w:rsidR="001776A9">
        <w:rPr>
          <w:sz w:val="24"/>
          <w:szCs w:val="24"/>
          <w:lang w:val="nl-NL"/>
        </w:rPr>
        <w:t>na de pandemie uitbraak</w:t>
      </w:r>
      <w:r w:rsidRPr="00404B0D">
        <w:rPr>
          <w:sz w:val="24"/>
          <w:szCs w:val="24"/>
          <w:lang w:val="nl-NL"/>
        </w:rPr>
        <w:t xml:space="preserve">. De luchttransportactiviteiten namen </w:t>
      </w:r>
      <w:r w:rsidR="00A04981">
        <w:rPr>
          <w:sz w:val="24"/>
          <w:szCs w:val="24"/>
          <w:lang w:val="nl-NL"/>
        </w:rPr>
        <w:t>af</w:t>
      </w:r>
      <w:r w:rsidRPr="00404B0D">
        <w:rPr>
          <w:sz w:val="24"/>
          <w:szCs w:val="24"/>
          <w:lang w:val="nl-NL"/>
        </w:rPr>
        <w:t xml:space="preserve"> als gevolg van een </w:t>
      </w:r>
      <w:r w:rsidR="00A04981">
        <w:rPr>
          <w:sz w:val="24"/>
          <w:szCs w:val="24"/>
          <w:lang w:val="nl-NL"/>
        </w:rPr>
        <w:t>dal</w:t>
      </w:r>
      <w:r w:rsidRPr="00404B0D">
        <w:rPr>
          <w:sz w:val="24"/>
          <w:szCs w:val="24"/>
          <w:lang w:val="nl-NL"/>
        </w:rPr>
        <w:t xml:space="preserve">ing in het aantal passagiers en het </w:t>
      </w:r>
      <w:r w:rsidRPr="00404B0D">
        <w:rPr>
          <w:sz w:val="24"/>
          <w:szCs w:val="24"/>
          <w:lang w:val="nl-NL"/>
        </w:rPr>
        <w:lastRenderedPageBreak/>
        <w:t xml:space="preserve">aantal landingen, </w:t>
      </w:r>
      <w:r w:rsidR="00A04981">
        <w:rPr>
          <w:sz w:val="24"/>
          <w:szCs w:val="24"/>
          <w:lang w:val="nl-NL"/>
        </w:rPr>
        <w:t>en</w:t>
      </w:r>
      <w:r w:rsidRPr="00404B0D">
        <w:rPr>
          <w:sz w:val="24"/>
          <w:szCs w:val="24"/>
          <w:lang w:val="nl-NL"/>
        </w:rPr>
        <w:t xml:space="preserve"> er waren</w:t>
      </w:r>
      <w:r w:rsidR="00D416A7">
        <w:rPr>
          <w:sz w:val="24"/>
          <w:szCs w:val="24"/>
          <w:lang w:val="nl-NL"/>
        </w:rPr>
        <w:t xml:space="preserve"> bijgevolg</w:t>
      </w:r>
      <w:r w:rsidRPr="00404B0D">
        <w:rPr>
          <w:sz w:val="24"/>
          <w:szCs w:val="24"/>
          <w:lang w:val="nl-NL"/>
        </w:rPr>
        <w:t xml:space="preserve"> minder luchtvrachten. In de sector </w:t>
      </w:r>
      <w:r w:rsidR="00D416A7">
        <w:rPr>
          <w:sz w:val="24"/>
          <w:szCs w:val="24"/>
          <w:lang w:val="nl-NL"/>
        </w:rPr>
        <w:t xml:space="preserve">informatie en </w:t>
      </w:r>
      <w:r w:rsidRPr="00404B0D">
        <w:rPr>
          <w:sz w:val="24"/>
          <w:szCs w:val="24"/>
          <w:lang w:val="nl-NL"/>
        </w:rPr>
        <w:t>communicatie wordt</w:t>
      </w:r>
      <w:r w:rsidR="00A04981">
        <w:rPr>
          <w:sz w:val="24"/>
          <w:szCs w:val="24"/>
          <w:lang w:val="nl-NL"/>
        </w:rPr>
        <w:t xml:space="preserve"> aan de andere kant een stijg</w:t>
      </w:r>
      <w:r w:rsidRPr="00404B0D">
        <w:rPr>
          <w:sz w:val="24"/>
          <w:szCs w:val="24"/>
          <w:lang w:val="nl-NL"/>
        </w:rPr>
        <w:t>ing waargenomen in 20</w:t>
      </w:r>
      <w:r w:rsidR="00A04981">
        <w:rPr>
          <w:sz w:val="24"/>
          <w:szCs w:val="24"/>
          <w:lang w:val="nl-NL"/>
        </w:rPr>
        <w:t>20</w:t>
      </w:r>
      <w:r w:rsidRPr="00404B0D">
        <w:rPr>
          <w:sz w:val="24"/>
          <w:szCs w:val="24"/>
          <w:lang w:val="nl-NL"/>
        </w:rPr>
        <w:t>.</w:t>
      </w:r>
      <w:r w:rsidR="00D416A7">
        <w:rPr>
          <w:sz w:val="24"/>
          <w:szCs w:val="24"/>
          <w:lang w:val="nl-NL"/>
        </w:rPr>
        <w:t xml:space="preserve"> </w:t>
      </w:r>
    </w:p>
    <w:p w14:paraId="2A4ED1FF" w14:textId="77777777" w:rsidR="000E124E" w:rsidRDefault="00D416A7" w:rsidP="00D20241">
      <w:pPr>
        <w:jc w:val="both"/>
        <w:rPr>
          <w:sz w:val="24"/>
          <w:szCs w:val="24"/>
          <w:lang w:val="nl-NL"/>
        </w:rPr>
      </w:pPr>
      <w:r w:rsidRPr="00D416A7">
        <w:rPr>
          <w:sz w:val="24"/>
          <w:szCs w:val="24"/>
          <w:lang w:val="nl-NL"/>
        </w:rPr>
        <w:t xml:space="preserve">De </w:t>
      </w:r>
      <w:r w:rsidRPr="00D416A7">
        <w:rPr>
          <w:i/>
          <w:sz w:val="24"/>
          <w:szCs w:val="24"/>
          <w:lang w:val="nl-NL"/>
        </w:rPr>
        <w:t>Horeca</w:t>
      </w:r>
      <w:r w:rsidRPr="00D416A7">
        <w:rPr>
          <w:sz w:val="24"/>
          <w:szCs w:val="24"/>
          <w:lang w:val="nl-NL"/>
        </w:rPr>
        <w:t xml:space="preserve"> (verschaffen van </w:t>
      </w:r>
      <w:r w:rsidR="00154E94">
        <w:rPr>
          <w:sz w:val="24"/>
          <w:szCs w:val="24"/>
          <w:lang w:val="nl-NL"/>
        </w:rPr>
        <w:t xml:space="preserve">diensten in </w:t>
      </w:r>
      <w:r w:rsidRPr="00D416A7">
        <w:rPr>
          <w:sz w:val="24"/>
          <w:szCs w:val="24"/>
          <w:lang w:val="nl-NL"/>
        </w:rPr>
        <w:t xml:space="preserve">accommodatie en maaltijden activiteiten) </w:t>
      </w:r>
      <w:r w:rsidR="00A20857">
        <w:rPr>
          <w:sz w:val="24"/>
          <w:szCs w:val="24"/>
          <w:lang w:val="nl-NL"/>
        </w:rPr>
        <w:t>behorend bij</w:t>
      </w:r>
      <w:r w:rsidRPr="00D416A7">
        <w:rPr>
          <w:sz w:val="24"/>
          <w:szCs w:val="24"/>
          <w:lang w:val="nl-NL"/>
        </w:rPr>
        <w:t xml:space="preserve"> de toerisme sector</w:t>
      </w:r>
      <w:r w:rsidR="00154E94">
        <w:rPr>
          <w:sz w:val="24"/>
          <w:szCs w:val="24"/>
          <w:lang w:val="nl-NL"/>
        </w:rPr>
        <w:t>, deze is heftig gedaald in 2020</w:t>
      </w:r>
      <w:r w:rsidR="00635F92">
        <w:rPr>
          <w:sz w:val="24"/>
          <w:szCs w:val="24"/>
          <w:lang w:val="nl-NL"/>
        </w:rPr>
        <w:t>.</w:t>
      </w:r>
      <w:r w:rsidRPr="00D416A7">
        <w:rPr>
          <w:sz w:val="24"/>
          <w:szCs w:val="24"/>
          <w:lang w:val="nl-NL"/>
        </w:rPr>
        <w:t xml:space="preserve"> De activiteiten in de bedrijfstak hotels en restaurant zijn</w:t>
      </w:r>
      <w:r w:rsidR="004873C6">
        <w:rPr>
          <w:sz w:val="24"/>
          <w:szCs w:val="24"/>
          <w:lang w:val="nl-NL"/>
        </w:rPr>
        <w:t xml:space="preserve"> sterk af</w:t>
      </w:r>
      <w:r w:rsidRPr="00D416A7">
        <w:rPr>
          <w:sz w:val="24"/>
          <w:szCs w:val="24"/>
          <w:lang w:val="nl-NL"/>
        </w:rPr>
        <w:t>genome</w:t>
      </w:r>
      <w:r w:rsidR="004873C6">
        <w:rPr>
          <w:sz w:val="24"/>
          <w:szCs w:val="24"/>
          <w:lang w:val="nl-NL"/>
        </w:rPr>
        <w:t>n ten opzichte van het jaar 2019</w:t>
      </w:r>
      <w:r w:rsidR="005165AA">
        <w:rPr>
          <w:sz w:val="24"/>
          <w:szCs w:val="24"/>
          <w:lang w:val="nl-NL"/>
        </w:rPr>
        <w:t xml:space="preserve"> die een groei vertoonde</w:t>
      </w:r>
      <w:r w:rsidR="004873C6">
        <w:rPr>
          <w:sz w:val="24"/>
          <w:szCs w:val="24"/>
          <w:lang w:val="nl-NL"/>
        </w:rPr>
        <w:t xml:space="preserve"> (4.9%)</w:t>
      </w:r>
      <w:r w:rsidRPr="00D416A7">
        <w:rPr>
          <w:sz w:val="24"/>
          <w:szCs w:val="24"/>
          <w:lang w:val="nl-NL"/>
        </w:rPr>
        <w:t xml:space="preserve">. Een globaal overzicht van het aantal overnachtingen van toeristen vanuit de verschillende toeristische regio’s laat zien dat er een algemeen </w:t>
      </w:r>
      <w:r w:rsidR="005A7B0F">
        <w:rPr>
          <w:sz w:val="24"/>
          <w:szCs w:val="24"/>
          <w:lang w:val="nl-NL"/>
        </w:rPr>
        <w:t xml:space="preserve">ingrijpend </w:t>
      </w:r>
      <w:r w:rsidR="004873C6">
        <w:rPr>
          <w:sz w:val="24"/>
          <w:szCs w:val="24"/>
          <w:lang w:val="nl-NL"/>
        </w:rPr>
        <w:t>af</w:t>
      </w:r>
      <w:r w:rsidRPr="00D416A7">
        <w:rPr>
          <w:sz w:val="24"/>
          <w:szCs w:val="24"/>
          <w:lang w:val="nl-NL"/>
        </w:rPr>
        <w:t>name heeft plaatsgevonden</w:t>
      </w:r>
      <w:r w:rsidR="005A7B0F">
        <w:rPr>
          <w:sz w:val="24"/>
          <w:szCs w:val="24"/>
          <w:lang w:val="nl-NL"/>
        </w:rPr>
        <w:t>. De grootste afname was van</w:t>
      </w:r>
      <w:r w:rsidRPr="00D416A7">
        <w:rPr>
          <w:sz w:val="24"/>
          <w:szCs w:val="24"/>
          <w:lang w:val="nl-NL"/>
        </w:rPr>
        <w:t xml:space="preserve"> Zuid-Amerika</w:t>
      </w:r>
      <w:r w:rsidR="005A7B0F">
        <w:rPr>
          <w:sz w:val="24"/>
          <w:szCs w:val="24"/>
          <w:lang w:val="nl-NL"/>
        </w:rPr>
        <w:t xml:space="preserve"> met 80 procent, daarna volgt het Caribisch gebied die is </w:t>
      </w:r>
      <w:r w:rsidR="005A7B0F" w:rsidRPr="005A7B0F">
        <w:rPr>
          <w:sz w:val="24"/>
          <w:szCs w:val="24"/>
          <w:lang w:val="nl-NL"/>
        </w:rPr>
        <w:t xml:space="preserve">achteruitgegaan met 76 procent. </w:t>
      </w:r>
      <w:r w:rsidRPr="00D416A7">
        <w:rPr>
          <w:sz w:val="24"/>
          <w:szCs w:val="24"/>
          <w:lang w:val="nl-NL"/>
        </w:rPr>
        <w:t xml:space="preserve">Toeristische overnachtingen vanuit </w:t>
      </w:r>
      <w:r w:rsidR="005A7B0F">
        <w:rPr>
          <w:sz w:val="24"/>
          <w:szCs w:val="24"/>
          <w:lang w:val="nl-NL"/>
        </w:rPr>
        <w:t>Noord</w:t>
      </w:r>
      <w:r w:rsidRPr="00D416A7">
        <w:rPr>
          <w:sz w:val="24"/>
          <w:szCs w:val="24"/>
          <w:lang w:val="nl-NL"/>
        </w:rPr>
        <w:t>-Amerika bleef e</w:t>
      </w:r>
      <w:r w:rsidR="005A7B0F">
        <w:rPr>
          <w:sz w:val="24"/>
          <w:szCs w:val="24"/>
          <w:lang w:val="nl-NL"/>
        </w:rPr>
        <w:t>en achteruitgang aanhouden van 61</w:t>
      </w:r>
      <w:r w:rsidRPr="00D416A7">
        <w:rPr>
          <w:sz w:val="24"/>
          <w:szCs w:val="24"/>
          <w:lang w:val="nl-NL"/>
        </w:rPr>
        <w:t xml:space="preserve"> procent. Europa laat weer een </w:t>
      </w:r>
      <w:r w:rsidR="005A7B0F">
        <w:rPr>
          <w:sz w:val="24"/>
          <w:szCs w:val="24"/>
          <w:lang w:val="nl-NL"/>
        </w:rPr>
        <w:t>daling</w:t>
      </w:r>
      <w:r w:rsidRPr="00D416A7">
        <w:rPr>
          <w:sz w:val="24"/>
          <w:szCs w:val="24"/>
          <w:lang w:val="nl-NL"/>
        </w:rPr>
        <w:t xml:space="preserve"> zien van </w:t>
      </w:r>
      <w:r w:rsidR="005A7B0F">
        <w:rPr>
          <w:sz w:val="24"/>
          <w:szCs w:val="24"/>
          <w:lang w:val="nl-NL"/>
        </w:rPr>
        <w:t>51</w:t>
      </w:r>
      <w:r w:rsidRPr="00D416A7">
        <w:rPr>
          <w:sz w:val="24"/>
          <w:szCs w:val="24"/>
          <w:lang w:val="nl-NL"/>
        </w:rPr>
        <w:t xml:space="preserve"> procent in overnachtingen. Uit andere gebieden zijn overnachtingen gedaald met </w:t>
      </w:r>
      <w:r w:rsidR="005A7B0F">
        <w:rPr>
          <w:sz w:val="24"/>
          <w:szCs w:val="24"/>
          <w:lang w:val="nl-NL"/>
        </w:rPr>
        <w:t>46</w:t>
      </w:r>
      <w:r w:rsidRPr="00D416A7">
        <w:rPr>
          <w:sz w:val="24"/>
          <w:szCs w:val="24"/>
          <w:lang w:val="nl-NL"/>
        </w:rPr>
        <w:t xml:space="preserve"> procent. Min of meer is zowel het totaalaantal overnachtingen van toeristen met</w:t>
      </w:r>
      <w:r w:rsidR="00401B73">
        <w:rPr>
          <w:sz w:val="24"/>
          <w:szCs w:val="24"/>
          <w:lang w:val="nl-NL"/>
        </w:rPr>
        <w:t xml:space="preserve"> 58 </w:t>
      </w:r>
      <w:r w:rsidRPr="00D416A7">
        <w:rPr>
          <w:sz w:val="24"/>
          <w:szCs w:val="24"/>
          <w:lang w:val="nl-NL"/>
        </w:rPr>
        <w:t xml:space="preserve">procent en het totaalaantal bezoekers </w:t>
      </w:r>
      <w:r w:rsidR="005A7B0F">
        <w:rPr>
          <w:sz w:val="24"/>
          <w:szCs w:val="24"/>
          <w:lang w:val="nl-NL"/>
        </w:rPr>
        <w:t>af</w:t>
      </w:r>
      <w:r w:rsidRPr="00D416A7">
        <w:rPr>
          <w:sz w:val="24"/>
          <w:szCs w:val="24"/>
          <w:lang w:val="nl-NL"/>
        </w:rPr>
        <w:t xml:space="preserve">genomen met </w:t>
      </w:r>
      <w:r w:rsidR="005A7B0F">
        <w:rPr>
          <w:sz w:val="24"/>
          <w:szCs w:val="24"/>
          <w:lang w:val="nl-NL"/>
        </w:rPr>
        <w:t>62</w:t>
      </w:r>
      <w:r w:rsidR="00401B73">
        <w:rPr>
          <w:sz w:val="24"/>
          <w:szCs w:val="24"/>
          <w:lang w:val="nl-NL"/>
        </w:rPr>
        <w:t xml:space="preserve"> </w:t>
      </w:r>
      <w:r w:rsidR="005A7B0F">
        <w:rPr>
          <w:sz w:val="24"/>
          <w:szCs w:val="24"/>
          <w:lang w:val="nl-NL"/>
        </w:rPr>
        <w:t>procent</w:t>
      </w:r>
      <w:r w:rsidRPr="00D416A7">
        <w:rPr>
          <w:sz w:val="24"/>
          <w:szCs w:val="24"/>
          <w:lang w:val="nl-NL"/>
        </w:rPr>
        <w:t xml:space="preserve">. Deze </w:t>
      </w:r>
      <w:r w:rsidR="00401B73">
        <w:rPr>
          <w:sz w:val="24"/>
          <w:szCs w:val="24"/>
          <w:lang w:val="nl-NL"/>
        </w:rPr>
        <w:t>achteruitgang gaat gepaard met de besch</w:t>
      </w:r>
      <w:r w:rsidRPr="00D416A7">
        <w:rPr>
          <w:sz w:val="24"/>
          <w:szCs w:val="24"/>
          <w:lang w:val="nl-NL"/>
        </w:rPr>
        <w:t>i</w:t>
      </w:r>
      <w:r w:rsidR="00401B73">
        <w:rPr>
          <w:sz w:val="24"/>
          <w:szCs w:val="24"/>
          <w:lang w:val="nl-NL"/>
        </w:rPr>
        <w:t xml:space="preserve">kbaarheid van luchttransport, </w:t>
      </w:r>
      <w:r w:rsidR="00401B73" w:rsidRPr="00D416A7">
        <w:rPr>
          <w:sz w:val="24"/>
          <w:szCs w:val="24"/>
          <w:lang w:val="nl-NL"/>
        </w:rPr>
        <w:t>welke</w:t>
      </w:r>
      <w:r w:rsidRPr="00D416A7">
        <w:rPr>
          <w:sz w:val="24"/>
          <w:szCs w:val="24"/>
          <w:lang w:val="nl-NL"/>
        </w:rPr>
        <w:t xml:space="preserve"> </w:t>
      </w:r>
      <w:r w:rsidR="00401B73">
        <w:rPr>
          <w:sz w:val="24"/>
          <w:szCs w:val="24"/>
          <w:lang w:val="nl-NL"/>
        </w:rPr>
        <w:t>in vele regio’s was stopgezet wegens pandemie voorzorgsmaatregelen.</w:t>
      </w:r>
      <w:r w:rsidR="00AF6FD3">
        <w:rPr>
          <w:sz w:val="24"/>
          <w:szCs w:val="24"/>
          <w:lang w:val="nl-NL"/>
        </w:rPr>
        <w:t xml:space="preserve"> De restaurants en </w:t>
      </w:r>
      <w:r w:rsidR="00631EB2">
        <w:rPr>
          <w:sz w:val="24"/>
          <w:szCs w:val="24"/>
          <w:lang w:val="nl-NL"/>
        </w:rPr>
        <w:t>cafés</w:t>
      </w:r>
      <w:r w:rsidR="00AF6FD3">
        <w:rPr>
          <w:sz w:val="24"/>
          <w:szCs w:val="24"/>
          <w:lang w:val="nl-NL"/>
        </w:rPr>
        <w:t xml:space="preserve"> waren ook onder druk, ze waren niet helemaal operationeel en waren gebonden aan openingstijden, aantal klanten en soort service.</w:t>
      </w:r>
      <w:r w:rsidRPr="00D416A7">
        <w:rPr>
          <w:sz w:val="24"/>
          <w:szCs w:val="24"/>
          <w:lang w:val="nl-NL"/>
        </w:rPr>
        <w:t xml:space="preserve"> </w:t>
      </w:r>
      <w:r w:rsidR="00401B73">
        <w:rPr>
          <w:sz w:val="24"/>
          <w:szCs w:val="24"/>
          <w:lang w:val="nl-NL"/>
        </w:rPr>
        <w:t>A</w:t>
      </w:r>
      <w:r w:rsidRPr="00D416A7">
        <w:rPr>
          <w:sz w:val="24"/>
          <w:szCs w:val="24"/>
          <w:lang w:val="nl-NL"/>
        </w:rPr>
        <w:t xml:space="preserve">lles overziend brengt deze ontwikkelingen tot een </w:t>
      </w:r>
      <w:r w:rsidR="00401B73">
        <w:rPr>
          <w:sz w:val="24"/>
          <w:szCs w:val="24"/>
          <w:lang w:val="nl-NL"/>
        </w:rPr>
        <w:t>daling</w:t>
      </w:r>
      <w:r w:rsidRPr="00D416A7">
        <w:rPr>
          <w:sz w:val="24"/>
          <w:szCs w:val="24"/>
          <w:lang w:val="nl-NL"/>
        </w:rPr>
        <w:t xml:space="preserve"> in toegevoegde waarde in de bedrijfstak hotels en restaurants van </w:t>
      </w:r>
      <w:r w:rsidR="00B032DA">
        <w:rPr>
          <w:sz w:val="24"/>
          <w:szCs w:val="24"/>
          <w:lang w:val="nl-NL"/>
        </w:rPr>
        <w:t>bijna 20</w:t>
      </w:r>
      <w:r w:rsidRPr="00D416A7">
        <w:rPr>
          <w:sz w:val="24"/>
          <w:szCs w:val="24"/>
          <w:lang w:val="nl-NL"/>
        </w:rPr>
        <w:t xml:space="preserve"> procent.</w:t>
      </w:r>
    </w:p>
    <w:p w14:paraId="2CDAF8D5" w14:textId="77777777" w:rsidR="00AF6FD3" w:rsidRPr="00536F72" w:rsidRDefault="00AF6FD3" w:rsidP="00AF6FD3">
      <w:pPr>
        <w:jc w:val="both"/>
        <w:rPr>
          <w:sz w:val="24"/>
          <w:szCs w:val="24"/>
          <w:lang w:val="nl-NL"/>
        </w:rPr>
      </w:pPr>
      <w:r w:rsidRPr="00536F72">
        <w:rPr>
          <w:sz w:val="24"/>
          <w:szCs w:val="24"/>
          <w:lang w:val="nl-NL"/>
        </w:rPr>
        <w:t xml:space="preserve">Bij de </w:t>
      </w:r>
      <w:r>
        <w:rPr>
          <w:sz w:val="24"/>
          <w:szCs w:val="24"/>
          <w:lang w:val="nl-NL"/>
        </w:rPr>
        <w:t xml:space="preserve">bedrijfstak </w:t>
      </w:r>
      <w:r w:rsidRPr="007F250E">
        <w:rPr>
          <w:i/>
          <w:sz w:val="24"/>
          <w:szCs w:val="24"/>
          <w:lang w:val="nl-NL"/>
        </w:rPr>
        <w:t xml:space="preserve">Financiële </w:t>
      </w:r>
      <w:r w:rsidR="00017B47">
        <w:rPr>
          <w:i/>
          <w:sz w:val="24"/>
          <w:szCs w:val="24"/>
          <w:lang w:val="nl-NL"/>
        </w:rPr>
        <w:t>instel</w:t>
      </w:r>
      <w:r w:rsidRPr="007F250E">
        <w:rPr>
          <w:i/>
          <w:sz w:val="24"/>
          <w:szCs w:val="24"/>
          <w:lang w:val="nl-NL"/>
        </w:rPr>
        <w:t>ling</w:t>
      </w:r>
      <w:r>
        <w:rPr>
          <w:sz w:val="24"/>
          <w:szCs w:val="24"/>
          <w:lang w:val="nl-NL"/>
        </w:rPr>
        <w:t xml:space="preserve"> is er een daling</w:t>
      </w:r>
      <w:r w:rsidRPr="00536F72">
        <w:rPr>
          <w:sz w:val="24"/>
          <w:szCs w:val="24"/>
          <w:lang w:val="nl-NL"/>
        </w:rPr>
        <w:t xml:space="preserve"> waargenom</w:t>
      </w:r>
      <w:r>
        <w:rPr>
          <w:sz w:val="24"/>
          <w:szCs w:val="24"/>
          <w:lang w:val="nl-NL"/>
        </w:rPr>
        <w:t>en (-5,1</w:t>
      </w:r>
      <w:r w:rsidRPr="00536F72">
        <w:rPr>
          <w:sz w:val="24"/>
          <w:szCs w:val="24"/>
          <w:lang w:val="nl-NL"/>
        </w:rPr>
        <w:t xml:space="preserve">%). Deze </w:t>
      </w:r>
      <w:r>
        <w:rPr>
          <w:sz w:val="24"/>
          <w:szCs w:val="24"/>
          <w:lang w:val="nl-NL"/>
        </w:rPr>
        <w:t>daling</w:t>
      </w:r>
      <w:r w:rsidRPr="00536F72">
        <w:rPr>
          <w:sz w:val="24"/>
          <w:szCs w:val="24"/>
          <w:lang w:val="nl-NL"/>
        </w:rPr>
        <w:t xml:space="preserve"> is toegeschreven aan </w:t>
      </w:r>
      <w:r>
        <w:rPr>
          <w:sz w:val="24"/>
          <w:szCs w:val="24"/>
          <w:lang w:val="nl-NL"/>
        </w:rPr>
        <w:t xml:space="preserve">voornamelijk </w:t>
      </w:r>
      <w:r w:rsidRPr="00536F72">
        <w:rPr>
          <w:sz w:val="24"/>
          <w:szCs w:val="24"/>
          <w:lang w:val="nl-NL"/>
        </w:rPr>
        <w:t xml:space="preserve">de </w:t>
      </w:r>
      <w:r>
        <w:rPr>
          <w:sz w:val="24"/>
          <w:szCs w:val="24"/>
          <w:lang w:val="nl-NL"/>
        </w:rPr>
        <w:t>afname</w:t>
      </w:r>
      <w:r w:rsidRPr="00536F72">
        <w:rPr>
          <w:sz w:val="24"/>
          <w:szCs w:val="24"/>
          <w:lang w:val="nl-NL"/>
        </w:rPr>
        <w:t xml:space="preserve"> in </w:t>
      </w:r>
      <w:r w:rsidR="00017B47">
        <w:rPr>
          <w:sz w:val="24"/>
          <w:szCs w:val="24"/>
          <w:lang w:val="nl-NL"/>
        </w:rPr>
        <w:t>‘</w:t>
      </w:r>
      <w:r w:rsidRPr="00536F72">
        <w:rPr>
          <w:sz w:val="24"/>
          <w:szCs w:val="24"/>
          <w:lang w:val="nl-NL"/>
        </w:rPr>
        <w:t>internationale zakelijke en financiële dienstverlening</w:t>
      </w:r>
      <w:r w:rsidR="00017B47">
        <w:rPr>
          <w:sz w:val="24"/>
          <w:szCs w:val="24"/>
          <w:lang w:val="nl-NL"/>
        </w:rPr>
        <w:t>’</w:t>
      </w:r>
      <w:r>
        <w:rPr>
          <w:sz w:val="24"/>
          <w:szCs w:val="24"/>
          <w:lang w:val="nl-NL"/>
        </w:rPr>
        <w:t xml:space="preserve"> </w:t>
      </w:r>
      <w:r w:rsidR="002E0269">
        <w:rPr>
          <w:sz w:val="24"/>
          <w:szCs w:val="24"/>
          <w:lang w:val="nl-NL"/>
        </w:rPr>
        <w:t xml:space="preserve">en </w:t>
      </w:r>
      <w:r>
        <w:rPr>
          <w:sz w:val="24"/>
          <w:szCs w:val="24"/>
          <w:lang w:val="nl-NL"/>
        </w:rPr>
        <w:t xml:space="preserve">overige </w:t>
      </w:r>
      <w:r w:rsidRPr="00536F72">
        <w:rPr>
          <w:sz w:val="24"/>
          <w:szCs w:val="24"/>
          <w:lang w:val="nl-NL"/>
        </w:rPr>
        <w:t>lokale commerciële bankactiviteiten</w:t>
      </w:r>
      <w:r w:rsidR="002E0269">
        <w:rPr>
          <w:sz w:val="24"/>
          <w:szCs w:val="24"/>
          <w:lang w:val="nl-NL"/>
        </w:rPr>
        <w:t>.</w:t>
      </w:r>
      <w:r w:rsidR="007D275F">
        <w:rPr>
          <w:sz w:val="24"/>
          <w:szCs w:val="24"/>
          <w:lang w:val="nl-NL"/>
        </w:rPr>
        <w:t xml:space="preserve"> Activiteiten bij de grootste verzekeringsmaatschappijen laten een </w:t>
      </w:r>
      <w:r w:rsidR="00CD5629">
        <w:rPr>
          <w:sz w:val="24"/>
          <w:szCs w:val="24"/>
          <w:lang w:val="nl-NL"/>
        </w:rPr>
        <w:t xml:space="preserve">stijging </w:t>
      </w:r>
      <w:r w:rsidR="007D275F">
        <w:rPr>
          <w:sz w:val="24"/>
          <w:szCs w:val="24"/>
          <w:lang w:val="nl-NL"/>
        </w:rPr>
        <w:t>zien.</w:t>
      </w:r>
    </w:p>
    <w:p w14:paraId="6788CB02" w14:textId="77777777" w:rsidR="00AF6FD3" w:rsidRDefault="002E0269" w:rsidP="00D20241">
      <w:pPr>
        <w:jc w:val="both"/>
        <w:rPr>
          <w:sz w:val="24"/>
          <w:szCs w:val="24"/>
          <w:lang w:val="nl-NL"/>
        </w:rPr>
      </w:pPr>
      <w:r w:rsidRPr="002E0269">
        <w:rPr>
          <w:sz w:val="24"/>
          <w:szCs w:val="24"/>
          <w:lang w:val="nl-NL"/>
        </w:rPr>
        <w:t xml:space="preserve">De </w:t>
      </w:r>
      <w:r w:rsidRPr="002E0269">
        <w:rPr>
          <w:i/>
          <w:sz w:val="24"/>
          <w:szCs w:val="24"/>
          <w:lang w:val="nl-NL"/>
        </w:rPr>
        <w:t>Zakelijke diensten</w:t>
      </w:r>
      <w:r w:rsidRPr="002E0269">
        <w:rPr>
          <w:sz w:val="24"/>
          <w:szCs w:val="24"/>
          <w:lang w:val="nl-NL"/>
        </w:rPr>
        <w:t xml:space="preserve"> (vastgoedactiviteiten; professionele, wetenschappelijke en technische activiteiten; Administratieve en ondersteunende activiteiten), is </w:t>
      </w:r>
      <w:r w:rsidR="001B07F8">
        <w:rPr>
          <w:sz w:val="24"/>
          <w:szCs w:val="24"/>
          <w:lang w:val="nl-NL"/>
        </w:rPr>
        <w:t xml:space="preserve">ook hard getroffen met een krimp </w:t>
      </w:r>
      <w:r w:rsidRPr="002E0269">
        <w:rPr>
          <w:sz w:val="24"/>
          <w:szCs w:val="24"/>
          <w:lang w:val="nl-NL"/>
        </w:rPr>
        <w:t xml:space="preserve">van </w:t>
      </w:r>
      <w:r w:rsidR="00CD5629">
        <w:rPr>
          <w:sz w:val="24"/>
          <w:szCs w:val="24"/>
          <w:lang w:val="nl-NL"/>
        </w:rPr>
        <w:t xml:space="preserve">ruim </w:t>
      </w:r>
      <w:r w:rsidR="001B07F8">
        <w:rPr>
          <w:sz w:val="24"/>
          <w:szCs w:val="24"/>
          <w:lang w:val="nl-NL"/>
        </w:rPr>
        <w:t>29</w:t>
      </w:r>
      <w:r w:rsidRPr="002E0269">
        <w:rPr>
          <w:sz w:val="24"/>
          <w:szCs w:val="24"/>
          <w:lang w:val="nl-NL"/>
        </w:rPr>
        <w:t xml:space="preserve"> procent.</w:t>
      </w:r>
    </w:p>
    <w:p w14:paraId="05E0FE72" w14:textId="77777777" w:rsidR="00AF6FD3" w:rsidRDefault="00E15717" w:rsidP="00D20241">
      <w:pPr>
        <w:jc w:val="both"/>
        <w:rPr>
          <w:sz w:val="24"/>
          <w:szCs w:val="24"/>
          <w:lang w:val="nl-NL"/>
        </w:rPr>
      </w:pPr>
      <w:r w:rsidRPr="00E15717">
        <w:rPr>
          <w:sz w:val="24"/>
          <w:szCs w:val="24"/>
          <w:lang w:val="nl-NL"/>
        </w:rPr>
        <w:t xml:space="preserve">De bijdrage van de </w:t>
      </w:r>
      <w:r w:rsidRPr="00E15717">
        <w:rPr>
          <w:i/>
          <w:sz w:val="24"/>
          <w:szCs w:val="24"/>
          <w:lang w:val="nl-NL"/>
        </w:rPr>
        <w:t>Overheid</w:t>
      </w:r>
      <w:r w:rsidRPr="00E15717">
        <w:rPr>
          <w:sz w:val="24"/>
          <w:szCs w:val="24"/>
          <w:lang w:val="nl-NL"/>
        </w:rPr>
        <w:t xml:space="preserve"> tot de economische ontwikkeling was reëel minder in 20</w:t>
      </w:r>
      <w:r>
        <w:rPr>
          <w:sz w:val="24"/>
          <w:szCs w:val="24"/>
          <w:lang w:val="nl-NL"/>
        </w:rPr>
        <w:t>20</w:t>
      </w:r>
      <w:r w:rsidRPr="00E15717">
        <w:rPr>
          <w:sz w:val="24"/>
          <w:szCs w:val="24"/>
          <w:lang w:val="nl-NL"/>
        </w:rPr>
        <w:t xml:space="preserve">. Er is een daling van </w:t>
      </w:r>
      <w:r w:rsidR="00CD5629">
        <w:rPr>
          <w:sz w:val="24"/>
          <w:szCs w:val="24"/>
          <w:lang w:val="nl-NL"/>
        </w:rPr>
        <w:t>bijna 1</w:t>
      </w:r>
      <w:r w:rsidRPr="00E15717">
        <w:rPr>
          <w:sz w:val="24"/>
          <w:szCs w:val="24"/>
          <w:lang w:val="nl-NL"/>
        </w:rPr>
        <w:t xml:space="preserve"> procent geconstateerd, de voorlopige toegevoegde waarde van de overheidsactiviteiten zijn reëel gedaald.</w:t>
      </w:r>
    </w:p>
    <w:p w14:paraId="238E126A" w14:textId="77777777" w:rsidR="00E15717" w:rsidRPr="00E15717" w:rsidRDefault="00E15717" w:rsidP="00E15717">
      <w:pPr>
        <w:jc w:val="both"/>
        <w:rPr>
          <w:sz w:val="24"/>
          <w:szCs w:val="24"/>
          <w:lang w:val="nl-NL"/>
        </w:rPr>
      </w:pPr>
      <w:r w:rsidRPr="00E15717">
        <w:rPr>
          <w:sz w:val="24"/>
          <w:szCs w:val="24"/>
          <w:lang w:val="nl-NL"/>
        </w:rPr>
        <w:t xml:space="preserve">In de bedrijfstak </w:t>
      </w:r>
      <w:r w:rsidRPr="00E15717">
        <w:rPr>
          <w:i/>
          <w:sz w:val="24"/>
          <w:szCs w:val="24"/>
          <w:lang w:val="nl-NL"/>
        </w:rPr>
        <w:t>Onderwijs</w:t>
      </w:r>
      <w:r w:rsidRPr="00E15717">
        <w:rPr>
          <w:sz w:val="24"/>
          <w:szCs w:val="24"/>
          <w:lang w:val="nl-NL"/>
        </w:rPr>
        <w:t xml:space="preserve"> wordt een </w:t>
      </w:r>
      <w:r w:rsidR="00CD5629">
        <w:rPr>
          <w:sz w:val="24"/>
          <w:szCs w:val="24"/>
          <w:lang w:val="nl-NL"/>
        </w:rPr>
        <w:t xml:space="preserve">lichte </w:t>
      </w:r>
      <w:r w:rsidRPr="00E15717">
        <w:rPr>
          <w:sz w:val="24"/>
          <w:szCs w:val="24"/>
          <w:lang w:val="nl-NL"/>
        </w:rPr>
        <w:t>achteruitgang getoond in 20</w:t>
      </w:r>
      <w:r>
        <w:rPr>
          <w:sz w:val="24"/>
          <w:szCs w:val="24"/>
          <w:lang w:val="nl-NL"/>
        </w:rPr>
        <w:t>20</w:t>
      </w:r>
      <w:r w:rsidRPr="00E15717">
        <w:rPr>
          <w:sz w:val="24"/>
          <w:szCs w:val="24"/>
          <w:lang w:val="nl-NL"/>
        </w:rPr>
        <w:t xml:space="preserve">. De toegevoegde waarde van </w:t>
      </w:r>
      <w:r w:rsidR="00CD5629">
        <w:rPr>
          <w:sz w:val="24"/>
          <w:szCs w:val="24"/>
          <w:lang w:val="nl-NL"/>
        </w:rPr>
        <w:t xml:space="preserve">particulier </w:t>
      </w:r>
      <w:r w:rsidRPr="00E15717">
        <w:rPr>
          <w:sz w:val="24"/>
          <w:szCs w:val="24"/>
          <w:lang w:val="nl-NL"/>
        </w:rPr>
        <w:t xml:space="preserve">onderwijs is gedaald </w:t>
      </w:r>
      <w:r w:rsidR="00CD5629">
        <w:rPr>
          <w:sz w:val="24"/>
          <w:szCs w:val="24"/>
          <w:lang w:val="nl-NL"/>
        </w:rPr>
        <w:t xml:space="preserve">met </w:t>
      </w:r>
      <w:r w:rsidR="006640EE">
        <w:rPr>
          <w:sz w:val="24"/>
          <w:szCs w:val="24"/>
          <w:lang w:val="nl-NL"/>
        </w:rPr>
        <w:t>0,8</w:t>
      </w:r>
      <w:r w:rsidR="00CD5629">
        <w:rPr>
          <w:sz w:val="24"/>
          <w:szCs w:val="24"/>
          <w:lang w:val="nl-NL"/>
        </w:rPr>
        <w:t xml:space="preserve"> procent</w:t>
      </w:r>
      <w:r w:rsidRPr="00E15717">
        <w:rPr>
          <w:sz w:val="24"/>
          <w:szCs w:val="24"/>
          <w:lang w:val="nl-NL"/>
        </w:rPr>
        <w:t>.</w:t>
      </w:r>
    </w:p>
    <w:p w14:paraId="1C652C6D" w14:textId="77777777" w:rsidR="00E15717" w:rsidRDefault="00E15717" w:rsidP="00E15717">
      <w:pPr>
        <w:jc w:val="both"/>
        <w:rPr>
          <w:sz w:val="24"/>
          <w:szCs w:val="24"/>
          <w:lang w:val="nl-NL"/>
        </w:rPr>
      </w:pPr>
      <w:r w:rsidRPr="00E15717">
        <w:rPr>
          <w:sz w:val="24"/>
          <w:szCs w:val="24"/>
          <w:lang w:val="nl-NL"/>
        </w:rPr>
        <w:t xml:space="preserve">In de </w:t>
      </w:r>
      <w:r w:rsidRPr="00AA4123">
        <w:rPr>
          <w:i/>
          <w:sz w:val="24"/>
          <w:szCs w:val="24"/>
          <w:lang w:val="nl-NL"/>
        </w:rPr>
        <w:t>Gezondheidszorg</w:t>
      </w:r>
      <w:r w:rsidRPr="00E15717">
        <w:rPr>
          <w:sz w:val="24"/>
          <w:szCs w:val="24"/>
          <w:lang w:val="nl-NL"/>
        </w:rPr>
        <w:t xml:space="preserve"> is er een daling van </w:t>
      </w:r>
      <w:r w:rsidR="006640EE">
        <w:rPr>
          <w:sz w:val="24"/>
          <w:szCs w:val="24"/>
          <w:lang w:val="nl-NL"/>
        </w:rPr>
        <w:t>6</w:t>
      </w:r>
      <w:r w:rsidRPr="00E15717">
        <w:rPr>
          <w:sz w:val="24"/>
          <w:szCs w:val="24"/>
          <w:lang w:val="nl-NL"/>
        </w:rPr>
        <w:t xml:space="preserve"> procent in 20</w:t>
      </w:r>
      <w:r w:rsidR="006640EE">
        <w:rPr>
          <w:sz w:val="24"/>
          <w:szCs w:val="24"/>
          <w:lang w:val="nl-NL"/>
        </w:rPr>
        <w:t>20</w:t>
      </w:r>
      <w:r w:rsidR="00AA4123">
        <w:rPr>
          <w:sz w:val="24"/>
          <w:szCs w:val="24"/>
          <w:lang w:val="nl-NL"/>
        </w:rPr>
        <w:t xml:space="preserve">, vergeleken met de </w:t>
      </w:r>
      <w:r w:rsidR="006640EE">
        <w:rPr>
          <w:sz w:val="24"/>
          <w:szCs w:val="24"/>
          <w:lang w:val="nl-NL"/>
        </w:rPr>
        <w:t>negatieve ontwikkeling van 2019</w:t>
      </w:r>
      <w:r w:rsidRPr="00E15717">
        <w:rPr>
          <w:sz w:val="24"/>
          <w:szCs w:val="24"/>
          <w:lang w:val="nl-NL"/>
        </w:rPr>
        <w:t>. De daling in</w:t>
      </w:r>
      <w:r w:rsidR="006640EE">
        <w:rPr>
          <w:sz w:val="24"/>
          <w:szCs w:val="24"/>
          <w:lang w:val="nl-NL"/>
        </w:rPr>
        <w:t xml:space="preserve"> </w:t>
      </w:r>
      <w:r w:rsidRPr="00E15717">
        <w:rPr>
          <w:sz w:val="24"/>
          <w:szCs w:val="24"/>
          <w:lang w:val="nl-NL"/>
        </w:rPr>
        <w:t>20</w:t>
      </w:r>
      <w:r w:rsidR="006640EE">
        <w:rPr>
          <w:sz w:val="24"/>
          <w:szCs w:val="24"/>
          <w:lang w:val="nl-NL"/>
        </w:rPr>
        <w:t>20</w:t>
      </w:r>
      <w:r w:rsidRPr="00E15717">
        <w:rPr>
          <w:sz w:val="24"/>
          <w:szCs w:val="24"/>
          <w:lang w:val="nl-NL"/>
        </w:rPr>
        <w:t xml:space="preserve"> is voornamelijk te wijten aan </w:t>
      </w:r>
      <w:r w:rsidR="006640EE">
        <w:rPr>
          <w:sz w:val="24"/>
          <w:szCs w:val="24"/>
          <w:lang w:val="nl-NL"/>
        </w:rPr>
        <w:t xml:space="preserve">minder </w:t>
      </w:r>
      <w:r w:rsidR="00CD5629">
        <w:rPr>
          <w:sz w:val="24"/>
          <w:szCs w:val="24"/>
          <w:lang w:val="nl-NL"/>
        </w:rPr>
        <w:t xml:space="preserve">activiteiten </w:t>
      </w:r>
      <w:r w:rsidR="000D7920">
        <w:rPr>
          <w:sz w:val="24"/>
          <w:szCs w:val="24"/>
          <w:lang w:val="nl-NL"/>
        </w:rPr>
        <w:t>in verband met</w:t>
      </w:r>
      <w:r w:rsidR="00AA4123">
        <w:rPr>
          <w:sz w:val="24"/>
          <w:szCs w:val="24"/>
          <w:lang w:val="nl-NL"/>
        </w:rPr>
        <w:t xml:space="preserve"> </w:t>
      </w:r>
      <w:r w:rsidR="000D7920">
        <w:rPr>
          <w:sz w:val="24"/>
          <w:szCs w:val="24"/>
          <w:lang w:val="nl-NL"/>
        </w:rPr>
        <w:t>de C</w:t>
      </w:r>
      <w:r w:rsidR="006640EE">
        <w:rPr>
          <w:sz w:val="24"/>
          <w:szCs w:val="24"/>
          <w:lang w:val="nl-NL"/>
        </w:rPr>
        <w:t xml:space="preserve">ovid-maatregelen. </w:t>
      </w:r>
    </w:p>
    <w:p w14:paraId="706602BF" w14:textId="77777777" w:rsidR="00B4267E" w:rsidRPr="0063327C" w:rsidRDefault="00974798" w:rsidP="00960EDE">
      <w:pPr>
        <w:pStyle w:val="Heading2"/>
        <w:rPr>
          <w:lang w:val="nl-NL"/>
        </w:rPr>
      </w:pPr>
      <w:r w:rsidRPr="0063327C">
        <w:rPr>
          <w:lang w:val="nl-NL"/>
        </w:rPr>
        <w:lastRenderedPageBreak/>
        <w:t xml:space="preserve">De </w:t>
      </w:r>
      <w:r w:rsidR="0074234C" w:rsidRPr="0063327C">
        <w:rPr>
          <w:lang w:val="nl-NL"/>
        </w:rPr>
        <w:t>wereldeconomie</w:t>
      </w:r>
      <w:r w:rsidR="00B4267E" w:rsidRPr="0063327C">
        <w:rPr>
          <w:lang w:val="nl-NL"/>
        </w:rPr>
        <w:t xml:space="preserve"> </w:t>
      </w:r>
    </w:p>
    <w:p w14:paraId="14845F96" w14:textId="77777777" w:rsidR="00B4267E" w:rsidRPr="006C66D1" w:rsidRDefault="00C32192" w:rsidP="00A7204F">
      <w:pPr>
        <w:jc w:val="both"/>
        <w:rPr>
          <w:sz w:val="24"/>
          <w:szCs w:val="24"/>
          <w:lang w:val="nl-NL"/>
        </w:rPr>
      </w:pPr>
      <w:r>
        <w:rPr>
          <w:sz w:val="24"/>
          <w:szCs w:val="24"/>
          <w:lang w:val="nl-NL"/>
        </w:rPr>
        <w:t>I</w:t>
      </w:r>
      <w:r w:rsidRPr="00C32192">
        <w:rPr>
          <w:sz w:val="24"/>
          <w:szCs w:val="24"/>
          <w:lang w:val="nl-NL"/>
        </w:rPr>
        <w:t>n 20</w:t>
      </w:r>
      <w:r w:rsidR="003F2483">
        <w:rPr>
          <w:sz w:val="24"/>
          <w:szCs w:val="24"/>
          <w:lang w:val="nl-NL"/>
        </w:rPr>
        <w:t>20</w:t>
      </w:r>
      <w:r>
        <w:rPr>
          <w:sz w:val="24"/>
          <w:szCs w:val="24"/>
          <w:lang w:val="nl-NL"/>
        </w:rPr>
        <w:t xml:space="preserve"> is</w:t>
      </w:r>
      <w:r w:rsidRPr="00C32192">
        <w:rPr>
          <w:sz w:val="24"/>
          <w:szCs w:val="24"/>
          <w:lang w:val="nl-NL"/>
        </w:rPr>
        <w:t xml:space="preserve"> de </w:t>
      </w:r>
      <w:r w:rsidR="003F2483">
        <w:rPr>
          <w:sz w:val="24"/>
          <w:szCs w:val="24"/>
          <w:lang w:val="nl-NL"/>
        </w:rPr>
        <w:t>krimp</w:t>
      </w:r>
      <w:r w:rsidRPr="00C32192">
        <w:rPr>
          <w:sz w:val="24"/>
          <w:szCs w:val="24"/>
          <w:lang w:val="nl-NL"/>
        </w:rPr>
        <w:t xml:space="preserve"> v</w:t>
      </w:r>
      <w:r w:rsidR="005D3FBF">
        <w:rPr>
          <w:sz w:val="24"/>
          <w:szCs w:val="24"/>
          <w:lang w:val="nl-NL"/>
        </w:rPr>
        <w:t>an</w:t>
      </w:r>
      <w:r>
        <w:rPr>
          <w:sz w:val="24"/>
          <w:szCs w:val="24"/>
          <w:lang w:val="nl-NL"/>
        </w:rPr>
        <w:t xml:space="preserve"> de wereld economie </w:t>
      </w:r>
      <w:r w:rsidR="003F2483">
        <w:rPr>
          <w:sz w:val="24"/>
          <w:szCs w:val="24"/>
          <w:lang w:val="nl-NL"/>
        </w:rPr>
        <w:t>3,3</w:t>
      </w:r>
      <w:r>
        <w:rPr>
          <w:sz w:val="24"/>
          <w:szCs w:val="24"/>
          <w:lang w:val="nl-NL"/>
        </w:rPr>
        <w:t xml:space="preserve"> procent, dit is overeenkomstig d</w:t>
      </w:r>
      <w:r w:rsidR="00B4267E" w:rsidRPr="006C66D1">
        <w:rPr>
          <w:sz w:val="24"/>
          <w:szCs w:val="24"/>
          <w:lang w:val="nl-NL"/>
        </w:rPr>
        <w:t>e “World Economic Outlook”</w:t>
      </w:r>
      <w:r w:rsidR="00B4267E" w:rsidRPr="006C66D1">
        <w:rPr>
          <w:sz w:val="24"/>
          <w:szCs w:val="24"/>
          <w:vertAlign w:val="superscript"/>
          <w:lang w:val="nl-NL"/>
        </w:rPr>
        <w:footnoteReference w:id="1"/>
      </w:r>
      <w:r w:rsidR="00B4267E" w:rsidRPr="006C66D1">
        <w:rPr>
          <w:sz w:val="24"/>
          <w:szCs w:val="24"/>
          <w:vertAlign w:val="superscript"/>
          <w:lang w:val="nl-NL"/>
        </w:rPr>
        <w:t xml:space="preserve"> </w:t>
      </w:r>
      <w:r w:rsidR="00B4267E" w:rsidRPr="006C66D1">
        <w:rPr>
          <w:sz w:val="24"/>
          <w:szCs w:val="24"/>
          <w:lang w:val="nl-NL"/>
        </w:rPr>
        <w:t>van het Intern</w:t>
      </w:r>
      <w:r>
        <w:rPr>
          <w:sz w:val="24"/>
          <w:szCs w:val="24"/>
          <w:lang w:val="nl-NL"/>
        </w:rPr>
        <w:t>ationaal Monetair Fonds.</w:t>
      </w:r>
      <w:r w:rsidR="00B4267E" w:rsidRPr="006C66D1">
        <w:rPr>
          <w:sz w:val="24"/>
          <w:szCs w:val="24"/>
          <w:lang w:val="nl-NL"/>
        </w:rPr>
        <w:t xml:space="preserve"> In 20</w:t>
      </w:r>
      <w:r w:rsidR="003C6098">
        <w:rPr>
          <w:sz w:val="24"/>
          <w:szCs w:val="24"/>
          <w:lang w:val="nl-NL"/>
        </w:rPr>
        <w:t>20</w:t>
      </w:r>
      <w:r w:rsidR="00B4267E" w:rsidRPr="006C66D1">
        <w:rPr>
          <w:sz w:val="24"/>
          <w:szCs w:val="24"/>
          <w:lang w:val="nl-NL"/>
        </w:rPr>
        <w:t xml:space="preserve"> is de </w:t>
      </w:r>
      <w:r w:rsidR="005F08C0">
        <w:rPr>
          <w:sz w:val="24"/>
          <w:szCs w:val="24"/>
          <w:lang w:val="nl-NL"/>
        </w:rPr>
        <w:t>wereldeconomie</w:t>
      </w:r>
      <w:r w:rsidR="00B4267E" w:rsidRPr="006C66D1">
        <w:rPr>
          <w:sz w:val="24"/>
          <w:szCs w:val="24"/>
          <w:lang w:val="nl-NL"/>
        </w:rPr>
        <w:t xml:space="preserve"> </w:t>
      </w:r>
      <w:r w:rsidR="003C6098">
        <w:rPr>
          <w:sz w:val="24"/>
          <w:szCs w:val="24"/>
          <w:lang w:val="nl-NL"/>
        </w:rPr>
        <w:t>gedaald</w:t>
      </w:r>
      <w:r w:rsidR="002039C7">
        <w:rPr>
          <w:sz w:val="24"/>
          <w:szCs w:val="24"/>
          <w:lang w:val="nl-NL"/>
        </w:rPr>
        <w:t xml:space="preserve"> </w:t>
      </w:r>
      <w:r w:rsidR="00B4267E" w:rsidRPr="006C66D1">
        <w:rPr>
          <w:sz w:val="24"/>
          <w:szCs w:val="24"/>
          <w:lang w:val="nl-NL"/>
        </w:rPr>
        <w:t>in vergelijking met het jaar 201</w:t>
      </w:r>
      <w:r w:rsidR="003F2483">
        <w:rPr>
          <w:sz w:val="24"/>
          <w:szCs w:val="24"/>
          <w:lang w:val="nl-NL"/>
        </w:rPr>
        <w:t>9</w:t>
      </w:r>
      <w:r w:rsidR="00D54A3D">
        <w:rPr>
          <w:sz w:val="24"/>
          <w:szCs w:val="24"/>
          <w:lang w:val="nl-NL"/>
        </w:rPr>
        <w:t xml:space="preserve"> (2,8</w:t>
      </w:r>
      <w:r w:rsidR="00B4267E" w:rsidRPr="006C66D1">
        <w:rPr>
          <w:sz w:val="24"/>
          <w:szCs w:val="24"/>
          <w:lang w:val="nl-NL"/>
        </w:rPr>
        <w:t xml:space="preserve">%). </w:t>
      </w:r>
    </w:p>
    <w:p w14:paraId="3553BD42" w14:textId="77777777" w:rsidR="002C4E52" w:rsidRPr="001B67F4" w:rsidRDefault="002C4E52" w:rsidP="00A7204F">
      <w:pPr>
        <w:jc w:val="both"/>
        <w:rPr>
          <w:sz w:val="24"/>
          <w:szCs w:val="24"/>
          <w:lang w:val="nl-NL"/>
        </w:rPr>
      </w:pPr>
      <w:r w:rsidRPr="006C66D1">
        <w:rPr>
          <w:sz w:val="24"/>
          <w:szCs w:val="24"/>
          <w:lang w:val="nl-NL"/>
        </w:rPr>
        <w:t xml:space="preserve">De ontwikkelde economieën geven een gemiddelde </w:t>
      </w:r>
      <w:r w:rsidR="003F2483">
        <w:rPr>
          <w:sz w:val="24"/>
          <w:szCs w:val="24"/>
          <w:lang w:val="nl-NL"/>
        </w:rPr>
        <w:t>daling</w:t>
      </w:r>
      <w:r w:rsidRPr="006C66D1">
        <w:rPr>
          <w:sz w:val="24"/>
          <w:szCs w:val="24"/>
          <w:lang w:val="nl-NL"/>
        </w:rPr>
        <w:t xml:space="preserve"> </w:t>
      </w:r>
      <w:r w:rsidR="00D54A3D">
        <w:rPr>
          <w:sz w:val="24"/>
          <w:szCs w:val="24"/>
          <w:lang w:val="nl-NL"/>
        </w:rPr>
        <w:t>van de reële</w:t>
      </w:r>
      <w:r w:rsidR="007A24C9">
        <w:rPr>
          <w:sz w:val="24"/>
          <w:szCs w:val="24"/>
          <w:lang w:val="nl-NL"/>
        </w:rPr>
        <w:t xml:space="preserve"> bbp </w:t>
      </w:r>
      <w:r w:rsidR="00D54A3D">
        <w:rPr>
          <w:sz w:val="24"/>
          <w:szCs w:val="24"/>
          <w:lang w:val="nl-NL"/>
        </w:rPr>
        <w:t xml:space="preserve">ontwikkeling </w:t>
      </w:r>
      <w:r w:rsidRPr="006C66D1">
        <w:rPr>
          <w:sz w:val="24"/>
          <w:szCs w:val="24"/>
          <w:lang w:val="nl-NL"/>
        </w:rPr>
        <w:t xml:space="preserve">aan van </w:t>
      </w:r>
      <w:r w:rsidR="003C6098">
        <w:rPr>
          <w:sz w:val="24"/>
          <w:szCs w:val="24"/>
          <w:lang w:val="nl-NL"/>
        </w:rPr>
        <w:t>4,7</w:t>
      </w:r>
      <w:r w:rsidRPr="006C66D1">
        <w:rPr>
          <w:sz w:val="24"/>
          <w:szCs w:val="24"/>
          <w:lang w:val="nl-NL"/>
        </w:rPr>
        <w:t xml:space="preserve"> procent in 20</w:t>
      </w:r>
      <w:r w:rsidR="001F5884">
        <w:rPr>
          <w:sz w:val="24"/>
          <w:szCs w:val="24"/>
          <w:lang w:val="nl-NL"/>
        </w:rPr>
        <w:t>20</w:t>
      </w:r>
      <w:r w:rsidR="00F91306">
        <w:rPr>
          <w:sz w:val="24"/>
          <w:szCs w:val="24"/>
          <w:lang w:val="nl-NL"/>
        </w:rPr>
        <w:t>,</w:t>
      </w:r>
      <w:r w:rsidR="00CB2CC9">
        <w:rPr>
          <w:sz w:val="24"/>
          <w:szCs w:val="24"/>
          <w:lang w:val="nl-NL"/>
        </w:rPr>
        <w:t xml:space="preserve"> in 201</w:t>
      </w:r>
      <w:r w:rsidR="003F2483">
        <w:rPr>
          <w:sz w:val="24"/>
          <w:szCs w:val="24"/>
          <w:lang w:val="nl-NL"/>
        </w:rPr>
        <w:t>9</w:t>
      </w:r>
      <w:r w:rsidR="00CB2CC9">
        <w:rPr>
          <w:sz w:val="24"/>
          <w:szCs w:val="24"/>
          <w:lang w:val="nl-NL"/>
        </w:rPr>
        <w:t xml:space="preserve"> </w:t>
      </w:r>
      <w:r w:rsidR="00F91306">
        <w:rPr>
          <w:sz w:val="24"/>
          <w:szCs w:val="24"/>
          <w:lang w:val="nl-NL"/>
        </w:rPr>
        <w:t xml:space="preserve">was het </w:t>
      </w:r>
      <w:r w:rsidR="003F2483">
        <w:rPr>
          <w:sz w:val="24"/>
          <w:szCs w:val="24"/>
          <w:lang w:val="nl-NL"/>
        </w:rPr>
        <w:t>1,</w:t>
      </w:r>
      <w:r w:rsidR="00D54A3D">
        <w:rPr>
          <w:sz w:val="24"/>
          <w:szCs w:val="24"/>
          <w:lang w:val="nl-NL"/>
        </w:rPr>
        <w:t>6</w:t>
      </w:r>
      <w:r w:rsidR="00F91306">
        <w:rPr>
          <w:sz w:val="24"/>
          <w:szCs w:val="24"/>
          <w:lang w:val="nl-NL"/>
        </w:rPr>
        <w:t xml:space="preserve"> p</w:t>
      </w:r>
      <w:r w:rsidR="00C32192">
        <w:rPr>
          <w:sz w:val="24"/>
          <w:szCs w:val="24"/>
          <w:lang w:val="nl-NL"/>
        </w:rPr>
        <w:t>ro</w:t>
      </w:r>
      <w:r w:rsidR="00F91306">
        <w:rPr>
          <w:sz w:val="24"/>
          <w:szCs w:val="24"/>
          <w:lang w:val="nl-NL"/>
        </w:rPr>
        <w:t>cent</w:t>
      </w:r>
      <w:r w:rsidR="00F91306" w:rsidRPr="001B67F4">
        <w:rPr>
          <w:sz w:val="24"/>
          <w:szCs w:val="24"/>
          <w:lang w:val="nl-NL"/>
        </w:rPr>
        <w:t xml:space="preserve">. </w:t>
      </w:r>
      <w:r w:rsidR="001F5884">
        <w:rPr>
          <w:sz w:val="24"/>
          <w:szCs w:val="24"/>
          <w:lang w:val="nl-NL"/>
        </w:rPr>
        <w:t>De daling</w:t>
      </w:r>
      <w:r w:rsidRPr="001B67F4">
        <w:rPr>
          <w:sz w:val="24"/>
          <w:szCs w:val="24"/>
          <w:lang w:val="nl-NL"/>
        </w:rPr>
        <w:t xml:space="preserve"> is voornamelijk beïnvloed door o.a. de Verenigde Staten (</w:t>
      </w:r>
      <w:r w:rsidR="007A24C9">
        <w:rPr>
          <w:sz w:val="24"/>
          <w:szCs w:val="24"/>
          <w:lang w:val="nl-NL"/>
        </w:rPr>
        <w:t>-</w:t>
      </w:r>
      <w:r w:rsidR="003C6098">
        <w:rPr>
          <w:sz w:val="24"/>
          <w:szCs w:val="24"/>
          <w:lang w:val="nl-NL"/>
        </w:rPr>
        <w:t>3,</w:t>
      </w:r>
      <w:r w:rsidR="001F5884">
        <w:rPr>
          <w:sz w:val="24"/>
          <w:szCs w:val="24"/>
          <w:lang w:val="nl-NL"/>
        </w:rPr>
        <w:t>5</w:t>
      </w:r>
      <w:r w:rsidRPr="001B67F4">
        <w:rPr>
          <w:sz w:val="24"/>
          <w:szCs w:val="24"/>
          <w:lang w:val="nl-NL"/>
        </w:rPr>
        <w:t>%), de Eurozone (</w:t>
      </w:r>
      <w:r w:rsidR="001F5884">
        <w:rPr>
          <w:sz w:val="24"/>
          <w:szCs w:val="24"/>
          <w:lang w:val="nl-NL"/>
        </w:rPr>
        <w:t>-</w:t>
      </w:r>
      <w:r w:rsidR="003C6098">
        <w:rPr>
          <w:sz w:val="24"/>
          <w:szCs w:val="24"/>
          <w:lang w:val="nl-NL"/>
        </w:rPr>
        <w:t>6</w:t>
      </w:r>
      <w:r w:rsidR="001F5884">
        <w:rPr>
          <w:sz w:val="24"/>
          <w:szCs w:val="24"/>
          <w:lang w:val="nl-NL"/>
        </w:rPr>
        <w:t>,</w:t>
      </w:r>
      <w:r w:rsidR="003C6098">
        <w:rPr>
          <w:sz w:val="24"/>
          <w:szCs w:val="24"/>
          <w:lang w:val="nl-NL"/>
        </w:rPr>
        <w:t>6</w:t>
      </w:r>
      <w:r w:rsidRPr="001B67F4">
        <w:rPr>
          <w:sz w:val="24"/>
          <w:szCs w:val="24"/>
          <w:lang w:val="nl-NL"/>
        </w:rPr>
        <w:t>%)</w:t>
      </w:r>
      <w:r w:rsidR="001B67F4" w:rsidRPr="001B67F4">
        <w:rPr>
          <w:sz w:val="24"/>
          <w:szCs w:val="24"/>
          <w:lang w:val="nl-NL"/>
        </w:rPr>
        <w:t xml:space="preserve"> waarvan Nederland </w:t>
      </w:r>
      <w:r w:rsidR="00C32192">
        <w:rPr>
          <w:sz w:val="24"/>
          <w:szCs w:val="24"/>
          <w:lang w:val="nl-NL"/>
        </w:rPr>
        <w:t xml:space="preserve">een </w:t>
      </w:r>
      <w:r w:rsidR="001F5884">
        <w:rPr>
          <w:sz w:val="24"/>
          <w:szCs w:val="24"/>
          <w:lang w:val="nl-NL"/>
        </w:rPr>
        <w:t>af</w:t>
      </w:r>
      <w:r w:rsidR="00C32192">
        <w:rPr>
          <w:sz w:val="24"/>
          <w:szCs w:val="24"/>
          <w:lang w:val="nl-NL"/>
        </w:rPr>
        <w:t xml:space="preserve">name beleefde in zijn </w:t>
      </w:r>
      <w:r w:rsidR="00B92DE5">
        <w:rPr>
          <w:sz w:val="24"/>
          <w:szCs w:val="24"/>
          <w:lang w:val="nl-NL"/>
        </w:rPr>
        <w:t>economie van</w:t>
      </w:r>
      <w:r w:rsidR="001A62BD">
        <w:rPr>
          <w:sz w:val="24"/>
          <w:szCs w:val="24"/>
          <w:lang w:val="nl-NL"/>
        </w:rPr>
        <w:t xml:space="preserve"> </w:t>
      </w:r>
      <w:r w:rsidR="001F5884">
        <w:rPr>
          <w:sz w:val="24"/>
          <w:szCs w:val="24"/>
          <w:lang w:val="nl-NL"/>
        </w:rPr>
        <w:t>3</w:t>
      </w:r>
      <w:r w:rsidR="00643FCA">
        <w:rPr>
          <w:sz w:val="24"/>
          <w:szCs w:val="24"/>
          <w:lang w:val="nl-NL"/>
        </w:rPr>
        <w:t>,</w:t>
      </w:r>
      <w:r w:rsidR="00FB5C88">
        <w:rPr>
          <w:sz w:val="24"/>
          <w:szCs w:val="24"/>
          <w:lang w:val="nl-NL"/>
        </w:rPr>
        <w:t>8</w:t>
      </w:r>
      <w:r w:rsidR="001B67F4" w:rsidRPr="001B67F4">
        <w:rPr>
          <w:sz w:val="24"/>
          <w:szCs w:val="24"/>
          <w:lang w:val="nl-NL"/>
        </w:rPr>
        <w:t xml:space="preserve"> procent</w:t>
      </w:r>
      <w:r w:rsidR="001B67F4">
        <w:rPr>
          <w:sz w:val="24"/>
          <w:szCs w:val="24"/>
          <w:lang w:val="nl-NL"/>
        </w:rPr>
        <w:t xml:space="preserve">. Andere landen </w:t>
      </w:r>
      <w:r w:rsidR="0074234C" w:rsidRPr="0074234C">
        <w:rPr>
          <w:sz w:val="24"/>
          <w:szCs w:val="24"/>
          <w:lang w:val="nl-NL"/>
        </w:rPr>
        <w:t>zoals Verenigde</w:t>
      </w:r>
      <w:r w:rsidR="005956BD" w:rsidRPr="0074234C">
        <w:rPr>
          <w:sz w:val="24"/>
          <w:szCs w:val="24"/>
          <w:lang w:val="nl-NL"/>
        </w:rPr>
        <w:t xml:space="preserve"> Koninkrijk </w:t>
      </w:r>
      <w:r w:rsidR="005956BD" w:rsidRPr="001B67F4">
        <w:rPr>
          <w:sz w:val="24"/>
          <w:szCs w:val="24"/>
          <w:lang w:val="nl-NL"/>
        </w:rPr>
        <w:t>(</w:t>
      </w:r>
      <w:r w:rsidR="001F5884">
        <w:rPr>
          <w:sz w:val="24"/>
          <w:szCs w:val="24"/>
          <w:lang w:val="nl-NL"/>
        </w:rPr>
        <w:t>-</w:t>
      </w:r>
      <w:r w:rsidR="007A24C9">
        <w:rPr>
          <w:sz w:val="24"/>
          <w:szCs w:val="24"/>
          <w:lang w:val="nl-NL"/>
        </w:rPr>
        <w:t>9,9</w:t>
      </w:r>
      <w:r w:rsidR="005956BD" w:rsidRPr="001B67F4">
        <w:rPr>
          <w:sz w:val="24"/>
          <w:szCs w:val="24"/>
          <w:lang w:val="nl-NL"/>
        </w:rPr>
        <w:t xml:space="preserve">%), </w:t>
      </w:r>
      <w:r w:rsidRPr="001B67F4">
        <w:rPr>
          <w:sz w:val="24"/>
          <w:szCs w:val="24"/>
          <w:lang w:val="nl-NL"/>
        </w:rPr>
        <w:t>Canada (</w:t>
      </w:r>
      <w:r w:rsidR="001F5884">
        <w:rPr>
          <w:sz w:val="24"/>
          <w:szCs w:val="24"/>
          <w:lang w:val="nl-NL"/>
        </w:rPr>
        <w:t>-</w:t>
      </w:r>
      <w:r w:rsidR="00EC5300">
        <w:rPr>
          <w:sz w:val="24"/>
          <w:szCs w:val="24"/>
          <w:lang w:val="nl-NL"/>
        </w:rPr>
        <w:t>5</w:t>
      </w:r>
      <w:r w:rsidR="001F5884">
        <w:rPr>
          <w:sz w:val="24"/>
          <w:szCs w:val="24"/>
          <w:lang w:val="nl-NL"/>
        </w:rPr>
        <w:t>,</w:t>
      </w:r>
      <w:r w:rsidR="00EC5300">
        <w:rPr>
          <w:sz w:val="24"/>
          <w:szCs w:val="24"/>
          <w:lang w:val="nl-NL"/>
        </w:rPr>
        <w:t>4</w:t>
      </w:r>
      <w:r w:rsidRPr="001B67F4">
        <w:rPr>
          <w:sz w:val="24"/>
          <w:szCs w:val="24"/>
          <w:lang w:val="nl-NL"/>
        </w:rPr>
        <w:t>%), en Japan (</w:t>
      </w:r>
      <w:r w:rsidR="00EC5300">
        <w:rPr>
          <w:sz w:val="24"/>
          <w:szCs w:val="24"/>
          <w:lang w:val="nl-NL"/>
        </w:rPr>
        <w:t>-4</w:t>
      </w:r>
      <w:r w:rsidR="001F5884">
        <w:rPr>
          <w:sz w:val="24"/>
          <w:szCs w:val="24"/>
          <w:lang w:val="nl-NL"/>
        </w:rPr>
        <w:t>,</w:t>
      </w:r>
      <w:r w:rsidR="00EC5300">
        <w:rPr>
          <w:sz w:val="24"/>
          <w:szCs w:val="24"/>
          <w:lang w:val="nl-NL"/>
        </w:rPr>
        <w:t>8</w:t>
      </w:r>
      <w:r w:rsidRPr="001B67F4">
        <w:rPr>
          <w:sz w:val="24"/>
          <w:szCs w:val="24"/>
          <w:lang w:val="nl-NL"/>
        </w:rPr>
        <w:t>%)</w:t>
      </w:r>
      <w:r w:rsidR="00B92DE5">
        <w:rPr>
          <w:sz w:val="24"/>
          <w:szCs w:val="24"/>
          <w:lang w:val="nl-NL"/>
        </w:rPr>
        <w:t xml:space="preserve"> hebben allemaal een economische </w:t>
      </w:r>
      <w:r w:rsidR="001F5884">
        <w:rPr>
          <w:sz w:val="24"/>
          <w:szCs w:val="24"/>
          <w:lang w:val="nl-NL"/>
        </w:rPr>
        <w:t>krimp</w:t>
      </w:r>
      <w:r w:rsidR="00B92DE5">
        <w:rPr>
          <w:sz w:val="24"/>
          <w:szCs w:val="24"/>
          <w:lang w:val="nl-NL"/>
        </w:rPr>
        <w:t xml:space="preserve"> </w:t>
      </w:r>
      <w:r w:rsidR="008B55D2">
        <w:rPr>
          <w:sz w:val="24"/>
          <w:szCs w:val="24"/>
          <w:lang w:val="nl-NL"/>
        </w:rPr>
        <w:t>in</w:t>
      </w:r>
      <w:r w:rsidR="001F5884">
        <w:rPr>
          <w:sz w:val="24"/>
          <w:szCs w:val="24"/>
          <w:lang w:val="nl-NL"/>
        </w:rPr>
        <w:t xml:space="preserve"> 2020</w:t>
      </w:r>
      <w:r w:rsidRPr="001B67F4">
        <w:rPr>
          <w:sz w:val="24"/>
          <w:szCs w:val="24"/>
          <w:lang w:val="nl-NL"/>
        </w:rPr>
        <w:t>.</w:t>
      </w:r>
    </w:p>
    <w:p w14:paraId="6890568E" w14:textId="77777777" w:rsidR="00B4267E" w:rsidRPr="00C32192" w:rsidRDefault="00B4267E" w:rsidP="00A7204F">
      <w:pPr>
        <w:jc w:val="both"/>
        <w:rPr>
          <w:sz w:val="24"/>
          <w:szCs w:val="24"/>
          <w:lang w:val="nl-NL"/>
        </w:rPr>
      </w:pPr>
      <w:r w:rsidRPr="006C66D1">
        <w:rPr>
          <w:sz w:val="24"/>
          <w:szCs w:val="24"/>
          <w:lang w:val="nl-NL"/>
        </w:rPr>
        <w:t xml:space="preserve">De opkomende en ontwikkelingseconomieën </w:t>
      </w:r>
      <w:r w:rsidR="00F20683" w:rsidRPr="006C66D1">
        <w:rPr>
          <w:sz w:val="24"/>
          <w:szCs w:val="24"/>
          <w:lang w:val="nl-NL"/>
        </w:rPr>
        <w:t>zetten door met</w:t>
      </w:r>
      <w:r w:rsidRPr="006C66D1">
        <w:rPr>
          <w:sz w:val="24"/>
          <w:szCs w:val="24"/>
          <w:lang w:val="nl-NL"/>
        </w:rPr>
        <w:t xml:space="preserve"> een groei</w:t>
      </w:r>
      <w:r w:rsidR="00FB5C88">
        <w:rPr>
          <w:sz w:val="24"/>
          <w:szCs w:val="24"/>
          <w:lang w:val="nl-NL"/>
        </w:rPr>
        <w:t>vertraging</w:t>
      </w:r>
      <w:r w:rsidRPr="006C66D1">
        <w:rPr>
          <w:sz w:val="24"/>
          <w:szCs w:val="24"/>
          <w:lang w:val="nl-NL"/>
        </w:rPr>
        <w:t xml:space="preserve"> van </w:t>
      </w:r>
      <w:r w:rsidR="001F5884">
        <w:rPr>
          <w:sz w:val="24"/>
          <w:szCs w:val="24"/>
          <w:lang w:val="nl-NL"/>
        </w:rPr>
        <w:t>-</w:t>
      </w:r>
      <w:r w:rsidR="00EC5300">
        <w:rPr>
          <w:sz w:val="24"/>
          <w:szCs w:val="24"/>
          <w:lang w:val="nl-NL"/>
        </w:rPr>
        <w:t>2,2</w:t>
      </w:r>
      <w:r w:rsidRPr="006C66D1">
        <w:rPr>
          <w:sz w:val="24"/>
          <w:szCs w:val="24"/>
          <w:lang w:val="nl-NL"/>
        </w:rPr>
        <w:t xml:space="preserve"> procent in 20</w:t>
      </w:r>
      <w:r w:rsidR="001F5884">
        <w:rPr>
          <w:sz w:val="24"/>
          <w:szCs w:val="24"/>
          <w:lang w:val="nl-NL"/>
        </w:rPr>
        <w:t>20</w:t>
      </w:r>
      <w:r w:rsidR="006C66D1" w:rsidRPr="006C66D1">
        <w:rPr>
          <w:sz w:val="24"/>
          <w:szCs w:val="24"/>
          <w:lang w:val="nl-NL"/>
        </w:rPr>
        <w:t xml:space="preserve">, </w:t>
      </w:r>
      <w:r w:rsidRPr="006C66D1">
        <w:rPr>
          <w:sz w:val="24"/>
          <w:szCs w:val="24"/>
          <w:lang w:val="nl-NL"/>
        </w:rPr>
        <w:t>in vergelijking met 201</w:t>
      </w:r>
      <w:r w:rsidR="001F5884">
        <w:rPr>
          <w:sz w:val="24"/>
          <w:szCs w:val="24"/>
          <w:lang w:val="nl-NL"/>
        </w:rPr>
        <w:t>9</w:t>
      </w:r>
      <w:r w:rsidR="00FB5C88">
        <w:rPr>
          <w:sz w:val="24"/>
          <w:szCs w:val="24"/>
          <w:lang w:val="nl-NL"/>
        </w:rPr>
        <w:t xml:space="preserve"> was het</w:t>
      </w:r>
      <w:r w:rsidR="006C66D1" w:rsidRPr="006C66D1">
        <w:rPr>
          <w:sz w:val="24"/>
          <w:szCs w:val="24"/>
          <w:lang w:val="nl-NL"/>
        </w:rPr>
        <w:t xml:space="preserve"> </w:t>
      </w:r>
      <w:r w:rsidR="007A24C9">
        <w:rPr>
          <w:sz w:val="24"/>
          <w:szCs w:val="24"/>
          <w:lang w:val="nl-NL"/>
        </w:rPr>
        <w:t>3,6</w:t>
      </w:r>
      <w:r w:rsidR="001F5884">
        <w:rPr>
          <w:sz w:val="24"/>
          <w:szCs w:val="24"/>
          <w:lang w:val="nl-NL"/>
        </w:rPr>
        <w:t xml:space="preserve"> </w:t>
      </w:r>
      <w:r w:rsidR="00FB5C88">
        <w:rPr>
          <w:sz w:val="24"/>
          <w:szCs w:val="24"/>
          <w:lang w:val="nl-NL"/>
        </w:rPr>
        <w:t>procent</w:t>
      </w:r>
      <w:r w:rsidRPr="00C32192">
        <w:rPr>
          <w:sz w:val="24"/>
          <w:szCs w:val="24"/>
          <w:lang w:val="nl-NL"/>
        </w:rPr>
        <w:t>. De economieën van Azië zijn</w:t>
      </w:r>
      <w:r w:rsidR="00B92DE5">
        <w:rPr>
          <w:sz w:val="24"/>
          <w:szCs w:val="24"/>
          <w:lang w:val="nl-NL"/>
        </w:rPr>
        <w:t xml:space="preserve"> algeheel </w:t>
      </w:r>
      <w:r w:rsidR="00EC5300">
        <w:rPr>
          <w:sz w:val="24"/>
          <w:szCs w:val="24"/>
          <w:lang w:val="nl-NL"/>
        </w:rPr>
        <w:t>gedaal</w:t>
      </w:r>
      <w:r w:rsidRPr="00C32192">
        <w:rPr>
          <w:sz w:val="24"/>
          <w:szCs w:val="24"/>
          <w:lang w:val="nl-NL"/>
        </w:rPr>
        <w:t xml:space="preserve">d met </w:t>
      </w:r>
      <w:r w:rsidR="001F5884">
        <w:rPr>
          <w:sz w:val="24"/>
          <w:szCs w:val="24"/>
          <w:lang w:val="nl-NL"/>
        </w:rPr>
        <w:t>1</w:t>
      </w:r>
      <w:r w:rsidRPr="00C32192">
        <w:rPr>
          <w:sz w:val="24"/>
          <w:szCs w:val="24"/>
          <w:lang w:val="nl-NL"/>
        </w:rPr>
        <w:t xml:space="preserve"> procent. </w:t>
      </w:r>
    </w:p>
    <w:p w14:paraId="04556DAA" w14:textId="77777777" w:rsidR="00B4267E" w:rsidRPr="009858BB" w:rsidRDefault="00B4267E" w:rsidP="009858BB">
      <w:pPr>
        <w:jc w:val="both"/>
        <w:rPr>
          <w:sz w:val="24"/>
          <w:szCs w:val="24"/>
          <w:lang w:val="nl-NL"/>
        </w:rPr>
      </w:pPr>
      <w:r w:rsidRPr="009858BB">
        <w:rPr>
          <w:sz w:val="24"/>
          <w:szCs w:val="24"/>
          <w:lang w:val="nl-NL"/>
        </w:rPr>
        <w:t>In 20</w:t>
      </w:r>
      <w:r w:rsidR="001F5884" w:rsidRPr="009858BB">
        <w:rPr>
          <w:sz w:val="24"/>
          <w:szCs w:val="24"/>
          <w:lang w:val="nl-NL"/>
        </w:rPr>
        <w:t>20</w:t>
      </w:r>
      <w:r w:rsidRPr="009858BB">
        <w:rPr>
          <w:sz w:val="24"/>
          <w:szCs w:val="24"/>
          <w:lang w:val="nl-NL"/>
        </w:rPr>
        <w:t xml:space="preserve"> vertoont de economische ontwikkeling van</w:t>
      </w:r>
      <w:r w:rsidR="007F7607" w:rsidRPr="009858BB">
        <w:rPr>
          <w:sz w:val="24"/>
          <w:szCs w:val="24"/>
          <w:lang w:val="nl-NL"/>
        </w:rPr>
        <w:t xml:space="preserve"> Latijns-Amerika</w:t>
      </w:r>
      <w:r w:rsidR="0099626F" w:rsidRPr="009858BB">
        <w:rPr>
          <w:sz w:val="24"/>
          <w:szCs w:val="24"/>
          <w:lang w:val="nl-NL"/>
        </w:rPr>
        <w:t xml:space="preserve"> en Caribisch gebied</w:t>
      </w:r>
      <w:r w:rsidR="006C66D1" w:rsidRPr="009858BB">
        <w:rPr>
          <w:sz w:val="24"/>
          <w:szCs w:val="24"/>
          <w:lang w:val="nl-NL"/>
        </w:rPr>
        <w:t xml:space="preserve"> een gemiddelde </w:t>
      </w:r>
      <w:r w:rsidR="001F5884" w:rsidRPr="009858BB">
        <w:rPr>
          <w:sz w:val="24"/>
          <w:szCs w:val="24"/>
          <w:lang w:val="nl-NL"/>
        </w:rPr>
        <w:t>daling</w:t>
      </w:r>
      <w:r w:rsidR="006C66D1" w:rsidRPr="009858BB">
        <w:rPr>
          <w:sz w:val="24"/>
          <w:szCs w:val="24"/>
          <w:lang w:val="nl-NL"/>
        </w:rPr>
        <w:t xml:space="preserve"> van </w:t>
      </w:r>
      <w:r w:rsidR="001F5884" w:rsidRPr="009858BB">
        <w:rPr>
          <w:sz w:val="24"/>
          <w:szCs w:val="24"/>
          <w:lang w:val="nl-NL"/>
        </w:rPr>
        <w:t>-</w:t>
      </w:r>
      <w:r w:rsidR="00EC5300" w:rsidRPr="009858BB">
        <w:rPr>
          <w:sz w:val="24"/>
          <w:szCs w:val="24"/>
          <w:lang w:val="nl-NL"/>
        </w:rPr>
        <w:t>7</w:t>
      </w:r>
      <w:r w:rsidR="007A24C9">
        <w:rPr>
          <w:sz w:val="24"/>
          <w:szCs w:val="24"/>
          <w:lang w:val="nl-NL"/>
        </w:rPr>
        <w:t>,7</w:t>
      </w:r>
      <w:r w:rsidR="008B12B9" w:rsidRPr="009858BB">
        <w:rPr>
          <w:sz w:val="24"/>
          <w:szCs w:val="24"/>
          <w:lang w:val="nl-NL"/>
        </w:rPr>
        <w:t xml:space="preserve"> procent</w:t>
      </w:r>
      <w:r w:rsidR="006C66D1" w:rsidRPr="009858BB">
        <w:rPr>
          <w:sz w:val="24"/>
          <w:szCs w:val="24"/>
          <w:lang w:val="nl-NL"/>
        </w:rPr>
        <w:t xml:space="preserve">. </w:t>
      </w:r>
      <w:r w:rsidR="00EC5300" w:rsidRPr="009858BB">
        <w:rPr>
          <w:sz w:val="24"/>
          <w:szCs w:val="24"/>
          <w:lang w:val="nl-NL"/>
        </w:rPr>
        <w:t>Volgens de gepubliceerde data van ‘Economic Commission for Latin America and the Caribbean’ (ECLAC)</w:t>
      </w:r>
      <w:r w:rsidR="009858BB">
        <w:rPr>
          <w:sz w:val="24"/>
          <w:szCs w:val="24"/>
          <w:vertAlign w:val="superscript"/>
          <w:lang w:val="nl-NL"/>
        </w:rPr>
        <w:t>2</w:t>
      </w:r>
      <w:r w:rsidR="009858BB" w:rsidRPr="009858BB">
        <w:rPr>
          <w:sz w:val="24"/>
          <w:szCs w:val="24"/>
          <w:lang w:val="nl-NL"/>
        </w:rPr>
        <w:t xml:space="preserve"> is in </w:t>
      </w:r>
      <w:r w:rsidR="007F7607" w:rsidRPr="009858BB">
        <w:rPr>
          <w:sz w:val="24"/>
          <w:szCs w:val="24"/>
          <w:lang w:val="nl-NL"/>
        </w:rPr>
        <w:t>Latijns-</w:t>
      </w:r>
      <w:r w:rsidR="009858BB" w:rsidRPr="009858BB">
        <w:rPr>
          <w:sz w:val="24"/>
          <w:szCs w:val="24"/>
          <w:lang w:val="nl-NL"/>
        </w:rPr>
        <w:t>Amerika de</w:t>
      </w:r>
      <w:r w:rsidR="005F08C0" w:rsidRPr="009858BB">
        <w:rPr>
          <w:sz w:val="24"/>
          <w:szCs w:val="24"/>
          <w:lang w:val="nl-NL"/>
        </w:rPr>
        <w:t xml:space="preserve"> economie van </w:t>
      </w:r>
      <w:r w:rsidR="007F7607" w:rsidRPr="009858BB">
        <w:rPr>
          <w:sz w:val="24"/>
          <w:szCs w:val="24"/>
          <w:lang w:val="nl-NL"/>
        </w:rPr>
        <w:t xml:space="preserve">Colombia </w:t>
      </w:r>
      <w:r w:rsidR="00C944DA" w:rsidRPr="009858BB">
        <w:rPr>
          <w:sz w:val="24"/>
          <w:szCs w:val="24"/>
          <w:lang w:val="nl-NL"/>
        </w:rPr>
        <w:t xml:space="preserve">met </w:t>
      </w:r>
      <w:r w:rsidR="00860496">
        <w:rPr>
          <w:sz w:val="24"/>
          <w:szCs w:val="24"/>
          <w:lang w:val="nl-NL"/>
        </w:rPr>
        <w:t>7</w:t>
      </w:r>
      <w:r w:rsidR="007F7607" w:rsidRPr="009858BB">
        <w:rPr>
          <w:sz w:val="24"/>
          <w:szCs w:val="24"/>
          <w:lang w:val="nl-NL"/>
        </w:rPr>
        <w:t xml:space="preserve"> procent</w:t>
      </w:r>
      <w:r w:rsidR="00C944DA" w:rsidRPr="009858BB">
        <w:rPr>
          <w:sz w:val="24"/>
          <w:szCs w:val="24"/>
          <w:lang w:val="nl-NL"/>
        </w:rPr>
        <w:t xml:space="preserve"> reëel ge</w:t>
      </w:r>
      <w:r w:rsidR="001F5884" w:rsidRPr="009858BB">
        <w:rPr>
          <w:sz w:val="24"/>
          <w:szCs w:val="24"/>
          <w:lang w:val="nl-NL"/>
        </w:rPr>
        <w:t>daald</w:t>
      </w:r>
      <w:r w:rsidR="007F7607" w:rsidRPr="009858BB">
        <w:rPr>
          <w:sz w:val="24"/>
          <w:szCs w:val="24"/>
          <w:lang w:val="nl-NL"/>
        </w:rPr>
        <w:t>,</w:t>
      </w:r>
      <w:r w:rsidR="00C944DA" w:rsidRPr="009858BB">
        <w:rPr>
          <w:sz w:val="24"/>
          <w:szCs w:val="24"/>
          <w:lang w:val="nl-NL"/>
        </w:rPr>
        <w:t xml:space="preserve"> terwijl</w:t>
      </w:r>
      <w:r w:rsidR="007F7607" w:rsidRPr="009858BB">
        <w:rPr>
          <w:sz w:val="24"/>
          <w:szCs w:val="24"/>
          <w:lang w:val="nl-NL"/>
        </w:rPr>
        <w:t xml:space="preserve"> Venezuela in een diepe recessie van 3</w:t>
      </w:r>
      <w:r w:rsidR="001F5884" w:rsidRPr="009858BB">
        <w:rPr>
          <w:sz w:val="24"/>
          <w:szCs w:val="24"/>
          <w:lang w:val="nl-NL"/>
        </w:rPr>
        <w:t>0</w:t>
      </w:r>
      <w:r w:rsidR="007F7607" w:rsidRPr="009858BB">
        <w:rPr>
          <w:sz w:val="24"/>
          <w:szCs w:val="24"/>
          <w:lang w:val="nl-NL"/>
        </w:rPr>
        <w:t xml:space="preserve"> procent</w:t>
      </w:r>
      <w:r w:rsidR="00C944DA" w:rsidRPr="009858BB">
        <w:rPr>
          <w:sz w:val="24"/>
          <w:szCs w:val="24"/>
          <w:lang w:val="nl-NL"/>
        </w:rPr>
        <w:t xml:space="preserve"> zit</w:t>
      </w:r>
      <w:r w:rsidR="007F7607" w:rsidRPr="009858BB">
        <w:rPr>
          <w:sz w:val="24"/>
          <w:szCs w:val="24"/>
          <w:lang w:val="nl-NL"/>
        </w:rPr>
        <w:t xml:space="preserve">. </w:t>
      </w:r>
      <w:r w:rsidR="005F08C0" w:rsidRPr="009858BB">
        <w:rPr>
          <w:sz w:val="24"/>
          <w:szCs w:val="24"/>
          <w:lang w:val="nl-NL"/>
        </w:rPr>
        <w:t>I</w:t>
      </w:r>
      <w:r w:rsidR="0099626F" w:rsidRPr="009858BB">
        <w:rPr>
          <w:sz w:val="24"/>
          <w:szCs w:val="24"/>
          <w:lang w:val="nl-NL"/>
        </w:rPr>
        <w:t>n d</w:t>
      </w:r>
      <w:r w:rsidRPr="009858BB">
        <w:rPr>
          <w:sz w:val="24"/>
          <w:szCs w:val="24"/>
          <w:lang w:val="nl-NL"/>
        </w:rPr>
        <w:t>e Caribische regio</w:t>
      </w:r>
      <w:r w:rsidR="005F08C0" w:rsidRPr="009858BB">
        <w:rPr>
          <w:sz w:val="24"/>
          <w:szCs w:val="24"/>
          <w:lang w:val="nl-NL"/>
        </w:rPr>
        <w:t xml:space="preserve"> heeft de</w:t>
      </w:r>
      <w:r w:rsidR="0099626F" w:rsidRPr="009858BB">
        <w:rPr>
          <w:sz w:val="24"/>
          <w:szCs w:val="24"/>
          <w:lang w:val="nl-NL"/>
        </w:rPr>
        <w:t xml:space="preserve"> </w:t>
      </w:r>
      <w:r w:rsidR="007F7607" w:rsidRPr="009858BB">
        <w:rPr>
          <w:sz w:val="24"/>
          <w:szCs w:val="24"/>
          <w:lang w:val="nl-NL"/>
        </w:rPr>
        <w:t>Dominicaanse</w:t>
      </w:r>
      <w:r w:rsidR="0099626F" w:rsidRPr="009858BB">
        <w:rPr>
          <w:sz w:val="24"/>
          <w:szCs w:val="24"/>
          <w:lang w:val="nl-NL"/>
        </w:rPr>
        <w:t xml:space="preserve"> Republiek</w:t>
      </w:r>
      <w:r w:rsidR="005F08C0" w:rsidRPr="009858BB">
        <w:rPr>
          <w:sz w:val="24"/>
          <w:szCs w:val="24"/>
          <w:lang w:val="nl-NL"/>
        </w:rPr>
        <w:t xml:space="preserve"> </w:t>
      </w:r>
      <w:r w:rsidRPr="009858BB">
        <w:rPr>
          <w:sz w:val="24"/>
          <w:szCs w:val="24"/>
          <w:lang w:val="nl-NL"/>
        </w:rPr>
        <w:t xml:space="preserve">een </w:t>
      </w:r>
      <w:r w:rsidR="005569D0" w:rsidRPr="009858BB">
        <w:rPr>
          <w:sz w:val="24"/>
          <w:szCs w:val="24"/>
          <w:lang w:val="nl-NL"/>
        </w:rPr>
        <w:t xml:space="preserve">negatieve </w:t>
      </w:r>
      <w:r w:rsidR="005956BD" w:rsidRPr="009858BB">
        <w:rPr>
          <w:sz w:val="24"/>
          <w:szCs w:val="24"/>
          <w:lang w:val="nl-NL"/>
        </w:rPr>
        <w:t xml:space="preserve">reële </w:t>
      </w:r>
      <w:r w:rsidRPr="009858BB">
        <w:rPr>
          <w:sz w:val="24"/>
          <w:szCs w:val="24"/>
          <w:lang w:val="nl-NL"/>
        </w:rPr>
        <w:t xml:space="preserve">groei van </w:t>
      </w:r>
      <w:r w:rsidR="00860496">
        <w:rPr>
          <w:sz w:val="24"/>
          <w:szCs w:val="24"/>
          <w:lang w:val="nl-NL"/>
        </w:rPr>
        <w:t>5,5</w:t>
      </w:r>
      <w:r w:rsidR="00907966" w:rsidRPr="009858BB">
        <w:rPr>
          <w:sz w:val="24"/>
          <w:szCs w:val="24"/>
          <w:lang w:val="nl-NL"/>
        </w:rPr>
        <w:t xml:space="preserve"> procent</w:t>
      </w:r>
      <w:r w:rsidR="0099626F" w:rsidRPr="009858BB">
        <w:rPr>
          <w:sz w:val="24"/>
          <w:szCs w:val="24"/>
          <w:lang w:val="nl-NL"/>
        </w:rPr>
        <w:t>,</w:t>
      </w:r>
      <w:r w:rsidR="007F7607" w:rsidRPr="009858BB">
        <w:rPr>
          <w:sz w:val="24"/>
          <w:szCs w:val="24"/>
          <w:lang w:val="nl-NL"/>
        </w:rPr>
        <w:t xml:space="preserve"> </w:t>
      </w:r>
      <w:r w:rsidR="00860496">
        <w:rPr>
          <w:sz w:val="24"/>
          <w:szCs w:val="24"/>
          <w:lang w:val="nl-NL"/>
        </w:rPr>
        <w:t>Jamaica met een daling van 9</w:t>
      </w:r>
      <w:r w:rsidR="007F7607" w:rsidRPr="009858BB">
        <w:rPr>
          <w:sz w:val="24"/>
          <w:szCs w:val="24"/>
          <w:lang w:val="nl-NL"/>
        </w:rPr>
        <w:t xml:space="preserve"> procent</w:t>
      </w:r>
      <w:r w:rsidR="00860496">
        <w:rPr>
          <w:sz w:val="24"/>
          <w:szCs w:val="24"/>
          <w:lang w:val="nl-NL"/>
        </w:rPr>
        <w:t>,</w:t>
      </w:r>
      <w:r w:rsidR="000E194D" w:rsidRPr="009858BB">
        <w:rPr>
          <w:sz w:val="24"/>
          <w:szCs w:val="24"/>
          <w:lang w:val="nl-NL"/>
        </w:rPr>
        <w:t xml:space="preserve"> en Barbados </w:t>
      </w:r>
      <w:r w:rsidR="00860496">
        <w:rPr>
          <w:sz w:val="24"/>
          <w:szCs w:val="24"/>
          <w:lang w:val="nl-NL"/>
        </w:rPr>
        <w:t>een daling van 16</w:t>
      </w:r>
      <w:r w:rsidR="000E194D" w:rsidRPr="009858BB">
        <w:rPr>
          <w:sz w:val="24"/>
          <w:szCs w:val="24"/>
          <w:lang w:val="nl-NL"/>
        </w:rPr>
        <w:t xml:space="preserve"> procent.</w:t>
      </w:r>
      <w:r w:rsidR="007F7607" w:rsidRPr="009858BB">
        <w:rPr>
          <w:sz w:val="24"/>
          <w:szCs w:val="24"/>
          <w:lang w:val="nl-NL"/>
        </w:rPr>
        <w:t xml:space="preserve"> </w:t>
      </w:r>
      <w:r w:rsidRPr="009858BB">
        <w:rPr>
          <w:sz w:val="24"/>
          <w:szCs w:val="24"/>
          <w:lang w:val="nl-NL"/>
        </w:rPr>
        <w:t xml:space="preserve">De economische ontwikkeling in Curaçao </w:t>
      </w:r>
      <w:r w:rsidR="005573CC" w:rsidRPr="009858BB">
        <w:rPr>
          <w:sz w:val="24"/>
          <w:szCs w:val="24"/>
          <w:lang w:val="nl-NL"/>
        </w:rPr>
        <w:t xml:space="preserve">loopt helaas </w:t>
      </w:r>
      <w:r w:rsidR="000E194D" w:rsidRPr="009858BB">
        <w:rPr>
          <w:sz w:val="24"/>
          <w:szCs w:val="24"/>
          <w:lang w:val="nl-NL"/>
        </w:rPr>
        <w:t>in dezelfde trend van</w:t>
      </w:r>
      <w:r w:rsidRPr="009858BB">
        <w:rPr>
          <w:sz w:val="24"/>
          <w:szCs w:val="24"/>
          <w:lang w:val="nl-NL"/>
        </w:rPr>
        <w:t xml:space="preserve"> </w:t>
      </w:r>
      <w:r w:rsidR="00054CD0" w:rsidRPr="009858BB">
        <w:rPr>
          <w:sz w:val="24"/>
          <w:szCs w:val="24"/>
          <w:lang w:val="nl-NL"/>
        </w:rPr>
        <w:t>de</w:t>
      </w:r>
      <w:r w:rsidRPr="009858BB">
        <w:rPr>
          <w:sz w:val="24"/>
          <w:szCs w:val="24"/>
          <w:lang w:val="nl-NL"/>
        </w:rPr>
        <w:t xml:space="preserve"> </w:t>
      </w:r>
      <w:r w:rsidR="001944CB" w:rsidRPr="009858BB">
        <w:rPr>
          <w:sz w:val="24"/>
          <w:szCs w:val="24"/>
          <w:lang w:val="nl-NL"/>
        </w:rPr>
        <w:t xml:space="preserve">meeste landen in de </w:t>
      </w:r>
      <w:r w:rsidRPr="009858BB">
        <w:rPr>
          <w:sz w:val="24"/>
          <w:szCs w:val="24"/>
          <w:lang w:val="nl-NL"/>
        </w:rPr>
        <w:t>Caribische regio</w:t>
      </w:r>
      <w:r w:rsidR="001A62BD" w:rsidRPr="009858BB">
        <w:rPr>
          <w:sz w:val="24"/>
          <w:szCs w:val="24"/>
          <w:lang w:val="nl-NL"/>
        </w:rPr>
        <w:t xml:space="preserve"> </w:t>
      </w:r>
      <w:r w:rsidR="001944CB" w:rsidRPr="009858BB">
        <w:rPr>
          <w:sz w:val="24"/>
          <w:szCs w:val="24"/>
          <w:lang w:val="nl-NL"/>
        </w:rPr>
        <w:t xml:space="preserve">die ook boven de 10 procent daling en enkelen zelfs boven de 20 procent daling zijn. </w:t>
      </w:r>
    </w:p>
    <w:p w14:paraId="5C5CD1B2" w14:textId="77777777" w:rsidR="00887CFD" w:rsidRDefault="00887CFD" w:rsidP="00887CFD">
      <w:pPr>
        <w:pStyle w:val="Heading2"/>
        <w:rPr>
          <w:lang w:val="nl-NL"/>
        </w:rPr>
      </w:pPr>
      <w:r>
        <w:rPr>
          <w:lang w:val="nl-NL"/>
        </w:rPr>
        <w:t>Historische economische ontwikkeling</w:t>
      </w:r>
    </w:p>
    <w:p w14:paraId="6FE589AE" w14:textId="77777777" w:rsidR="00887CFD" w:rsidRPr="006D21AD" w:rsidRDefault="003D2C93" w:rsidP="00887CFD">
      <w:pPr>
        <w:jc w:val="both"/>
        <w:rPr>
          <w:color w:val="FF0000"/>
          <w:sz w:val="24"/>
          <w:szCs w:val="24"/>
          <w:lang w:val="nl-NL"/>
        </w:rPr>
      </w:pPr>
      <w:r w:rsidRPr="003D2C93">
        <w:rPr>
          <w:sz w:val="24"/>
          <w:szCs w:val="24"/>
          <w:lang w:val="nl-NL"/>
        </w:rPr>
        <w:t>D</w:t>
      </w:r>
      <w:r w:rsidR="00887CFD" w:rsidRPr="003D2C93">
        <w:rPr>
          <w:sz w:val="24"/>
          <w:szCs w:val="24"/>
          <w:lang w:val="nl-NL"/>
        </w:rPr>
        <w:t xml:space="preserve">e historische data van 2010 tot 2020 </w:t>
      </w:r>
      <w:r w:rsidRPr="003D2C93">
        <w:rPr>
          <w:sz w:val="24"/>
          <w:szCs w:val="24"/>
          <w:lang w:val="nl-NL"/>
        </w:rPr>
        <w:t>geeft aan dat de economische groei op Curaçao zeer laag is over de jaren. Een lage</w:t>
      </w:r>
      <w:r w:rsidRPr="003D2C93">
        <w:rPr>
          <w:lang w:val="nl-NL"/>
        </w:rPr>
        <w:t xml:space="preserve"> e</w:t>
      </w:r>
      <w:r w:rsidRPr="003D2C93">
        <w:rPr>
          <w:sz w:val="24"/>
          <w:szCs w:val="24"/>
          <w:lang w:val="nl-NL"/>
        </w:rPr>
        <w:t>conomische groei betekent dat er minder welvaart is</w:t>
      </w:r>
      <w:r>
        <w:rPr>
          <w:sz w:val="24"/>
          <w:szCs w:val="24"/>
          <w:lang w:val="nl-NL"/>
        </w:rPr>
        <w:t xml:space="preserve"> </w:t>
      </w:r>
      <w:r w:rsidRPr="003D2C93">
        <w:rPr>
          <w:sz w:val="24"/>
          <w:szCs w:val="24"/>
          <w:lang w:val="nl-NL"/>
        </w:rPr>
        <w:t xml:space="preserve">om de bevolking te onderhouden, om armoede te bestrijden en om klimaatdoelstellingen te realiseren. Zonder economische </w:t>
      </w:r>
      <w:r>
        <w:rPr>
          <w:sz w:val="24"/>
          <w:szCs w:val="24"/>
          <w:lang w:val="nl-NL"/>
        </w:rPr>
        <w:t>ontwikkeling</w:t>
      </w:r>
      <w:r w:rsidRPr="003D2C93">
        <w:rPr>
          <w:sz w:val="24"/>
          <w:szCs w:val="24"/>
          <w:lang w:val="nl-NL"/>
        </w:rPr>
        <w:t xml:space="preserve"> </w:t>
      </w:r>
      <w:r>
        <w:rPr>
          <w:sz w:val="24"/>
          <w:szCs w:val="24"/>
          <w:lang w:val="nl-NL"/>
        </w:rPr>
        <w:t>kunnen we</w:t>
      </w:r>
      <w:r w:rsidRPr="003D2C93">
        <w:rPr>
          <w:sz w:val="24"/>
          <w:szCs w:val="24"/>
          <w:lang w:val="nl-NL"/>
        </w:rPr>
        <w:t xml:space="preserve"> onze sociale </w:t>
      </w:r>
      <w:r>
        <w:rPr>
          <w:sz w:val="24"/>
          <w:szCs w:val="24"/>
          <w:lang w:val="nl-NL"/>
        </w:rPr>
        <w:t>verplichtingen niet nakomen</w:t>
      </w:r>
      <w:r w:rsidRPr="003D2C93">
        <w:rPr>
          <w:sz w:val="24"/>
          <w:szCs w:val="24"/>
          <w:lang w:val="nl-NL"/>
        </w:rPr>
        <w:t>, komt onze welvaart onder druk en even goed ons welzijn.</w:t>
      </w:r>
      <w:r w:rsidR="00A05FBB">
        <w:rPr>
          <w:sz w:val="24"/>
          <w:szCs w:val="24"/>
          <w:lang w:val="nl-NL"/>
        </w:rPr>
        <w:t xml:space="preserve"> De figuur 1 geeft een uiteenzetting van de </w:t>
      </w:r>
      <w:r w:rsidR="0067730B">
        <w:rPr>
          <w:sz w:val="24"/>
          <w:szCs w:val="24"/>
          <w:lang w:val="nl-NL"/>
        </w:rPr>
        <w:t>reële</w:t>
      </w:r>
      <w:r w:rsidR="00A05FBB">
        <w:rPr>
          <w:sz w:val="24"/>
          <w:szCs w:val="24"/>
          <w:lang w:val="nl-NL"/>
        </w:rPr>
        <w:t xml:space="preserve"> economische ontwikkeling over de jaren 2010 tot 2020. </w:t>
      </w:r>
      <w:r w:rsidR="0067730B">
        <w:rPr>
          <w:sz w:val="24"/>
          <w:szCs w:val="24"/>
          <w:lang w:val="nl-NL"/>
        </w:rPr>
        <w:t>Er is een progressief beeld vanaf 2016 tot heden. De laatste jaar 2020 laat zien</w:t>
      </w:r>
      <w:r w:rsidR="00023CC7">
        <w:rPr>
          <w:sz w:val="24"/>
          <w:szCs w:val="24"/>
          <w:lang w:val="nl-NL"/>
        </w:rPr>
        <w:t xml:space="preserve"> dat we sterk afhankelijk zijn van de buitenwereld</w:t>
      </w:r>
      <w:r w:rsidR="002C595C">
        <w:rPr>
          <w:sz w:val="24"/>
          <w:szCs w:val="24"/>
          <w:lang w:val="nl-NL"/>
        </w:rPr>
        <w:t xml:space="preserve"> en</w:t>
      </w:r>
      <w:r w:rsidR="0067730B">
        <w:rPr>
          <w:sz w:val="24"/>
          <w:szCs w:val="24"/>
          <w:lang w:val="nl-NL"/>
        </w:rPr>
        <w:t xml:space="preserve"> hoe kwetsbaar onze arbeidsmarkt </w:t>
      </w:r>
      <w:r w:rsidR="00023CC7">
        <w:rPr>
          <w:sz w:val="24"/>
          <w:szCs w:val="24"/>
          <w:lang w:val="nl-NL"/>
        </w:rPr>
        <w:t xml:space="preserve">is </w:t>
      </w:r>
      <w:r w:rsidR="0067730B">
        <w:rPr>
          <w:sz w:val="24"/>
          <w:szCs w:val="24"/>
          <w:lang w:val="nl-NL"/>
        </w:rPr>
        <w:t xml:space="preserve">en hoe sterk het is gerelateerd aan de voortgang van de economie.  Figuur 2 laat ook zien hoe Curaçao staat in de wereldeconomie en de regio. </w:t>
      </w:r>
      <w:r w:rsidR="00023CC7">
        <w:rPr>
          <w:sz w:val="24"/>
          <w:szCs w:val="24"/>
          <w:lang w:val="nl-NL"/>
        </w:rPr>
        <w:t xml:space="preserve">In </w:t>
      </w:r>
      <w:r w:rsidR="0067730B">
        <w:rPr>
          <w:sz w:val="24"/>
          <w:szCs w:val="24"/>
          <w:lang w:val="nl-NL"/>
        </w:rPr>
        <w:t xml:space="preserve">2010, </w:t>
      </w:r>
      <w:r w:rsidR="0067730B">
        <w:rPr>
          <w:sz w:val="24"/>
          <w:szCs w:val="24"/>
          <w:lang w:val="nl-NL"/>
        </w:rPr>
        <w:lastRenderedPageBreak/>
        <w:t>2011</w:t>
      </w:r>
      <w:r w:rsidR="00023CC7">
        <w:rPr>
          <w:sz w:val="24"/>
          <w:szCs w:val="24"/>
          <w:lang w:val="nl-NL"/>
        </w:rPr>
        <w:t>, 2015 en 2020 lopen we parallel</w:t>
      </w:r>
      <w:r w:rsidR="0067730B">
        <w:rPr>
          <w:sz w:val="24"/>
          <w:szCs w:val="24"/>
          <w:lang w:val="nl-NL"/>
        </w:rPr>
        <w:t xml:space="preserve"> met de </w:t>
      </w:r>
      <w:r w:rsidR="00023CC7">
        <w:rPr>
          <w:sz w:val="24"/>
          <w:szCs w:val="24"/>
          <w:lang w:val="nl-NL"/>
        </w:rPr>
        <w:t xml:space="preserve">economische ontwikkeling van de </w:t>
      </w:r>
      <w:r w:rsidR="0067730B">
        <w:rPr>
          <w:sz w:val="24"/>
          <w:szCs w:val="24"/>
          <w:lang w:val="nl-NL"/>
        </w:rPr>
        <w:t xml:space="preserve">wereld en </w:t>
      </w:r>
      <w:r w:rsidR="00023CC7">
        <w:rPr>
          <w:sz w:val="24"/>
          <w:szCs w:val="24"/>
          <w:lang w:val="nl-NL"/>
        </w:rPr>
        <w:t>het</w:t>
      </w:r>
      <w:r w:rsidR="0067730B">
        <w:rPr>
          <w:sz w:val="24"/>
          <w:szCs w:val="24"/>
          <w:lang w:val="nl-NL"/>
        </w:rPr>
        <w:t xml:space="preserve"> Caribisch </w:t>
      </w:r>
      <w:r w:rsidR="00023CC7">
        <w:rPr>
          <w:sz w:val="24"/>
          <w:szCs w:val="24"/>
          <w:lang w:val="nl-NL"/>
        </w:rPr>
        <w:t>gebied.</w:t>
      </w:r>
      <w:r w:rsidR="0067730B">
        <w:rPr>
          <w:sz w:val="24"/>
          <w:szCs w:val="24"/>
          <w:lang w:val="nl-NL"/>
        </w:rPr>
        <w:t xml:space="preserve"> </w:t>
      </w:r>
      <w:r w:rsidR="00023CC7">
        <w:rPr>
          <w:sz w:val="24"/>
          <w:szCs w:val="24"/>
          <w:lang w:val="nl-NL"/>
        </w:rPr>
        <w:t>De overige jaren laat het tegenovergestelde economische pad zien.</w:t>
      </w:r>
    </w:p>
    <w:p w14:paraId="53DFC741" w14:textId="77777777" w:rsidR="00B4267E" w:rsidRPr="003C6098" w:rsidRDefault="00B4267E" w:rsidP="00974798">
      <w:pPr>
        <w:jc w:val="center"/>
        <w:rPr>
          <w:sz w:val="21"/>
          <w:szCs w:val="21"/>
          <w:lang w:val="nl-NL"/>
        </w:rPr>
      </w:pPr>
      <w:r w:rsidRPr="003C6098">
        <w:rPr>
          <w:sz w:val="21"/>
          <w:szCs w:val="21"/>
          <w:lang w:val="nl-NL"/>
        </w:rPr>
        <w:t>////////////////////////</w:t>
      </w:r>
    </w:p>
    <w:p w14:paraId="4AEBE9F2" w14:textId="77777777" w:rsidR="00B4267E" w:rsidRPr="003C6098" w:rsidRDefault="009F0C1B">
      <w:pPr>
        <w:rPr>
          <w:lang w:val="nl-NL"/>
        </w:rPr>
      </w:pPr>
      <w:r>
        <w:rPr>
          <w:noProof/>
          <w:lang w:val="nl-NL" w:eastAsia="zh-CN"/>
        </w:rPr>
        <w:drawing>
          <wp:anchor distT="0" distB="0" distL="114300" distR="114300" simplePos="0" relativeHeight="251658240" behindDoc="0" locked="0" layoutInCell="1" allowOverlap="1" wp14:anchorId="1DC6E322" wp14:editId="72045482">
            <wp:simplePos x="0" y="0"/>
            <wp:positionH relativeFrom="margin">
              <wp:align>left</wp:align>
            </wp:positionH>
            <wp:positionV relativeFrom="paragraph">
              <wp:posOffset>13335</wp:posOffset>
            </wp:positionV>
            <wp:extent cx="5524500" cy="3019425"/>
            <wp:effectExtent l="0" t="0" r="0"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77AC0E1" w14:textId="77777777" w:rsidR="00E9314E" w:rsidRPr="003C6098" w:rsidRDefault="00E9314E">
      <w:pPr>
        <w:rPr>
          <w:lang w:val="nl-NL"/>
        </w:rPr>
      </w:pPr>
    </w:p>
    <w:p w14:paraId="1B465B05" w14:textId="77777777" w:rsidR="00E9314E" w:rsidRPr="003C6098" w:rsidRDefault="00E9314E">
      <w:pPr>
        <w:rPr>
          <w:lang w:val="nl-NL"/>
        </w:rPr>
      </w:pPr>
    </w:p>
    <w:p w14:paraId="751E9C24" w14:textId="77777777" w:rsidR="000C7406" w:rsidRPr="003C6098" w:rsidRDefault="000C7406">
      <w:pPr>
        <w:rPr>
          <w:lang w:val="nl-NL"/>
        </w:rPr>
      </w:pPr>
    </w:p>
    <w:p w14:paraId="3258FC4D" w14:textId="77777777" w:rsidR="000C7406" w:rsidRPr="003C6098" w:rsidRDefault="000C7406">
      <w:pPr>
        <w:rPr>
          <w:lang w:val="nl-NL"/>
        </w:rPr>
      </w:pPr>
    </w:p>
    <w:p w14:paraId="1AD3ED1E" w14:textId="77777777" w:rsidR="000C7406" w:rsidRPr="003C6098" w:rsidRDefault="000C7406">
      <w:pPr>
        <w:rPr>
          <w:lang w:val="nl-NL"/>
        </w:rPr>
      </w:pPr>
    </w:p>
    <w:p w14:paraId="4F3C54E4" w14:textId="77777777" w:rsidR="00470801" w:rsidRPr="003C6098" w:rsidRDefault="00470801">
      <w:pPr>
        <w:rPr>
          <w:lang w:val="nl-NL"/>
        </w:rPr>
      </w:pPr>
    </w:p>
    <w:p w14:paraId="5891831F" w14:textId="77777777" w:rsidR="00470801" w:rsidRPr="003C6098" w:rsidRDefault="00470801">
      <w:pPr>
        <w:rPr>
          <w:lang w:val="nl-NL"/>
        </w:rPr>
      </w:pPr>
    </w:p>
    <w:p w14:paraId="6160235D" w14:textId="77777777" w:rsidR="000C7406" w:rsidRPr="003C6098" w:rsidRDefault="000C7406">
      <w:pPr>
        <w:rPr>
          <w:lang w:val="nl-NL"/>
        </w:rPr>
      </w:pPr>
    </w:p>
    <w:p w14:paraId="40397E3A" w14:textId="77777777" w:rsidR="009F0C1B" w:rsidRPr="003C6098" w:rsidRDefault="009F0C1B">
      <w:pPr>
        <w:rPr>
          <w:i/>
          <w:sz w:val="20"/>
          <w:szCs w:val="20"/>
          <w:lang w:val="nl-NL"/>
        </w:rPr>
      </w:pPr>
    </w:p>
    <w:p w14:paraId="78AC4FEF" w14:textId="77777777" w:rsidR="00470801" w:rsidRPr="003C6098" w:rsidRDefault="00860496">
      <w:pPr>
        <w:rPr>
          <w:i/>
          <w:sz w:val="20"/>
          <w:szCs w:val="20"/>
          <w:lang w:val="nl-NL"/>
        </w:rPr>
      </w:pPr>
      <w:r>
        <w:rPr>
          <w:i/>
          <w:sz w:val="20"/>
          <w:szCs w:val="20"/>
          <w:lang w:val="nl-NL"/>
        </w:rPr>
        <w:t>*Nota: Curaçao Data 2017-2020</w:t>
      </w:r>
      <w:r w:rsidR="00470801" w:rsidRPr="003C6098">
        <w:rPr>
          <w:i/>
          <w:sz w:val="20"/>
          <w:szCs w:val="20"/>
          <w:lang w:val="nl-NL"/>
        </w:rPr>
        <w:t xml:space="preserve"> </w:t>
      </w:r>
      <w:r>
        <w:rPr>
          <w:i/>
          <w:sz w:val="20"/>
          <w:szCs w:val="20"/>
          <w:lang w:val="nl-NL"/>
        </w:rPr>
        <w:t>zijn schattingen</w:t>
      </w:r>
    </w:p>
    <w:p w14:paraId="05836E00" w14:textId="77777777" w:rsidR="00E9314E" w:rsidRPr="00023CC7" w:rsidRDefault="007E7459">
      <w:r>
        <w:rPr>
          <w:noProof/>
          <w:lang w:val="nl-NL" w:eastAsia="zh-CN"/>
        </w:rPr>
        <w:drawing>
          <wp:inline distT="0" distB="0" distL="0" distR="0" wp14:anchorId="2B2AF22B" wp14:editId="299927AD">
            <wp:extent cx="5838825" cy="27432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1FB850" w14:textId="77777777" w:rsidR="0063327C" w:rsidRPr="00B029C7" w:rsidRDefault="00860496">
      <w:r>
        <w:rPr>
          <w:i/>
          <w:sz w:val="20"/>
          <w:szCs w:val="20"/>
        </w:rPr>
        <w:t>*Nota</w:t>
      </w:r>
      <w:r w:rsidR="00B029C7" w:rsidRPr="009F0C1B">
        <w:rPr>
          <w:i/>
          <w:sz w:val="20"/>
          <w:szCs w:val="20"/>
        </w:rPr>
        <w:t xml:space="preserve">: </w:t>
      </w:r>
      <w:r>
        <w:rPr>
          <w:i/>
          <w:sz w:val="20"/>
          <w:szCs w:val="20"/>
        </w:rPr>
        <w:t xml:space="preserve">Curaçao </w:t>
      </w:r>
      <w:r w:rsidR="00B029C7" w:rsidRPr="009F0C1B">
        <w:rPr>
          <w:i/>
          <w:sz w:val="20"/>
          <w:szCs w:val="20"/>
        </w:rPr>
        <w:t>Data 2017-20</w:t>
      </w:r>
      <w:r>
        <w:rPr>
          <w:i/>
          <w:sz w:val="20"/>
          <w:szCs w:val="20"/>
        </w:rPr>
        <w:t xml:space="preserve">20 </w:t>
      </w:r>
      <w:proofErr w:type="spellStart"/>
      <w:r>
        <w:rPr>
          <w:i/>
          <w:sz w:val="20"/>
          <w:szCs w:val="20"/>
        </w:rPr>
        <w:t>zijn</w:t>
      </w:r>
      <w:proofErr w:type="spellEnd"/>
      <w:r>
        <w:rPr>
          <w:i/>
          <w:sz w:val="20"/>
          <w:szCs w:val="20"/>
        </w:rPr>
        <w:t xml:space="preserve"> </w:t>
      </w:r>
      <w:proofErr w:type="spellStart"/>
      <w:r>
        <w:rPr>
          <w:i/>
          <w:sz w:val="20"/>
          <w:szCs w:val="20"/>
        </w:rPr>
        <w:t>schattingen</w:t>
      </w:r>
      <w:proofErr w:type="spellEnd"/>
    </w:p>
    <w:sectPr w:rsidR="0063327C" w:rsidRPr="00B029C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6E5B" w14:textId="77777777" w:rsidR="00043C2A" w:rsidRDefault="00043C2A" w:rsidP="00B4267E">
      <w:pPr>
        <w:spacing w:after="0" w:line="240" w:lineRule="auto"/>
      </w:pPr>
      <w:r>
        <w:separator/>
      </w:r>
    </w:p>
  </w:endnote>
  <w:endnote w:type="continuationSeparator" w:id="0">
    <w:p w14:paraId="3F606779" w14:textId="77777777" w:rsidR="00043C2A" w:rsidRDefault="00043C2A" w:rsidP="00B4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124915"/>
      <w:docPartObj>
        <w:docPartGallery w:val="Page Numbers (Bottom of Page)"/>
        <w:docPartUnique/>
      </w:docPartObj>
    </w:sdtPr>
    <w:sdtEndPr>
      <w:rPr>
        <w:noProof/>
      </w:rPr>
    </w:sdtEndPr>
    <w:sdtContent>
      <w:p w14:paraId="1FCEA5BC" w14:textId="77777777" w:rsidR="007D14DB" w:rsidRDefault="007D14DB">
        <w:pPr>
          <w:pStyle w:val="Footer"/>
          <w:jc w:val="right"/>
        </w:pPr>
        <w:r>
          <w:fldChar w:fldCharType="begin"/>
        </w:r>
        <w:r>
          <w:instrText xml:space="preserve"> PAGE   \* MERGEFORMAT </w:instrText>
        </w:r>
        <w:r>
          <w:fldChar w:fldCharType="separate"/>
        </w:r>
        <w:r w:rsidR="00631EB2">
          <w:rPr>
            <w:noProof/>
          </w:rPr>
          <w:t>5</w:t>
        </w:r>
        <w:r>
          <w:rPr>
            <w:noProof/>
          </w:rPr>
          <w:fldChar w:fldCharType="end"/>
        </w:r>
      </w:p>
    </w:sdtContent>
  </w:sdt>
  <w:p w14:paraId="55B8E24E" w14:textId="77777777" w:rsidR="007D14DB" w:rsidRDefault="007D1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D955" w14:textId="77777777" w:rsidR="00043C2A" w:rsidRDefault="00043C2A" w:rsidP="00B4267E">
      <w:pPr>
        <w:spacing w:after="0" w:line="240" w:lineRule="auto"/>
      </w:pPr>
      <w:r>
        <w:separator/>
      </w:r>
    </w:p>
  </w:footnote>
  <w:footnote w:type="continuationSeparator" w:id="0">
    <w:p w14:paraId="1157D1AD" w14:textId="77777777" w:rsidR="00043C2A" w:rsidRDefault="00043C2A" w:rsidP="00B4267E">
      <w:pPr>
        <w:spacing w:after="0" w:line="240" w:lineRule="auto"/>
      </w:pPr>
      <w:r>
        <w:continuationSeparator/>
      </w:r>
    </w:p>
  </w:footnote>
  <w:footnote w:id="1">
    <w:p w14:paraId="44D74EEA" w14:textId="77777777" w:rsidR="00EC5300" w:rsidRDefault="00B4267E" w:rsidP="0098281F">
      <w:pPr>
        <w:pStyle w:val="FootnoteText"/>
        <w:rPr>
          <w:rFonts w:ascii="Cambria" w:hAnsi="Cambria"/>
          <w:sz w:val="18"/>
          <w:szCs w:val="18"/>
        </w:rPr>
      </w:pPr>
      <w:r w:rsidRPr="00B226E7">
        <w:rPr>
          <w:rStyle w:val="FootnoteReference"/>
          <w:rFonts w:ascii="Cambria" w:hAnsi="Cambria"/>
        </w:rPr>
        <w:footnoteRef/>
      </w:r>
      <w:r w:rsidRPr="00B226E7">
        <w:rPr>
          <w:rFonts w:ascii="Cambria" w:hAnsi="Cambria"/>
        </w:rPr>
        <w:t xml:space="preserve">  </w:t>
      </w:r>
      <w:r w:rsidR="0098281F">
        <w:rPr>
          <w:rFonts w:ascii="Cambria" w:hAnsi="Cambria"/>
          <w:sz w:val="18"/>
          <w:szCs w:val="18"/>
        </w:rPr>
        <w:t>International Monetary Fund</w:t>
      </w:r>
      <w:r w:rsidR="00CB2CC9">
        <w:rPr>
          <w:rFonts w:ascii="Cambria" w:hAnsi="Cambria"/>
          <w:sz w:val="18"/>
          <w:szCs w:val="18"/>
        </w:rPr>
        <w:t xml:space="preserve">. </w:t>
      </w:r>
      <w:r w:rsidR="0098281F" w:rsidRPr="0098281F">
        <w:rPr>
          <w:rFonts w:ascii="Cambria" w:hAnsi="Cambria"/>
          <w:sz w:val="18"/>
          <w:szCs w:val="18"/>
        </w:rPr>
        <w:t>World Economic Outlook, April 202</w:t>
      </w:r>
      <w:r w:rsidR="00085668">
        <w:rPr>
          <w:rFonts w:ascii="Cambria" w:hAnsi="Cambria"/>
          <w:sz w:val="18"/>
          <w:szCs w:val="18"/>
        </w:rPr>
        <w:t>1</w:t>
      </w:r>
      <w:r w:rsidR="0098281F" w:rsidRPr="0098281F">
        <w:rPr>
          <w:rFonts w:ascii="Cambria" w:hAnsi="Cambria"/>
          <w:sz w:val="18"/>
          <w:szCs w:val="18"/>
        </w:rPr>
        <w:t xml:space="preserve">: </w:t>
      </w:r>
      <w:r w:rsidR="00085668" w:rsidRPr="00085668">
        <w:rPr>
          <w:rFonts w:ascii="Cambria" w:hAnsi="Cambria"/>
          <w:sz w:val="18"/>
          <w:szCs w:val="18"/>
        </w:rPr>
        <w:t xml:space="preserve">Managing </w:t>
      </w:r>
      <w:r w:rsidR="00085668">
        <w:rPr>
          <w:rFonts w:ascii="Cambria" w:hAnsi="Cambria"/>
          <w:sz w:val="18"/>
          <w:szCs w:val="18"/>
        </w:rPr>
        <w:t>Divergent Recoveries</w:t>
      </w:r>
      <w:r w:rsidR="0098281F">
        <w:rPr>
          <w:rFonts w:ascii="Cambria" w:hAnsi="Cambria"/>
          <w:sz w:val="18"/>
          <w:szCs w:val="18"/>
        </w:rPr>
        <w:t xml:space="preserve">. </w:t>
      </w:r>
      <w:r w:rsidR="0098281F" w:rsidRPr="0098281F">
        <w:rPr>
          <w:rFonts w:ascii="Cambria" w:hAnsi="Cambria"/>
          <w:i/>
          <w:sz w:val="18"/>
          <w:szCs w:val="18"/>
        </w:rPr>
        <w:t>(</w:t>
      </w:r>
      <w:hyperlink r:id="rId1" w:history="1">
        <w:r w:rsidR="000E194D" w:rsidRPr="009A0302">
          <w:rPr>
            <w:rStyle w:val="Hyperlink"/>
            <w:rFonts w:ascii="Cambria" w:hAnsi="Cambria"/>
            <w:i/>
            <w:sz w:val="18"/>
            <w:szCs w:val="18"/>
          </w:rPr>
          <w:t>https://www.imf.org/en/Publications/WEO/Issues/2021/03/23/world-economic-outlook-april-2021</w:t>
        </w:r>
      </w:hyperlink>
      <w:r w:rsidR="0098281F">
        <w:rPr>
          <w:rFonts w:ascii="Cambria" w:hAnsi="Cambria"/>
          <w:sz w:val="18"/>
          <w:szCs w:val="18"/>
        </w:rPr>
        <w:t>)</w:t>
      </w:r>
      <w:r w:rsidR="000E194D">
        <w:rPr>
          <w:rFonts w:ascii="Cambria" w:hAnsi="Cambria"/>
          <w:sz w:val="18"/>
          <w:szCs w:val="18"/>
        </w:rPr>
        <w:t xml:space="preserve">, </w:t>
      </w:r>
    </w:p>
    <w:p w14:paraId="12FB46B2" w14:textId="77777777" w:rsidR="00B4267E" w:rsidRDefault="009858BB" w:rsidP="0098281F">
      <w:pPr>
        <w:pStyle w:val="FootnoteText"/>
        <w:rPr>
          <w:rFonts w:ascii="Cambria" w:hAnsi="Cambria"/>
          <w:sz w:val="18"/>
          <w:szCs w:val="18"/>
        </w:rPr>
      </w:pPr>
      <w:r>
        <w:rPr>
          <w:rFonts w:ascii="Cambria" w:hAnsi="Cambria"/>
          <w:sz w:val="18"/>
          <w:szCs w:val="18"/>
          <w:vertAlign w:val="superscript"/>
        </w:rPr>
        <w:t>2</w:t>
      </w:r>
      <w:r>
        <w:rPr>
          <w:rFonts w:ascii="Cambria" w:hAnsi="Cambria"/>
          <w:sz w:val="18"/>
          <w:szCs w:val="18"/>
        </w:rPr>
        <w:t xml:space="preserve"> </w:t>
      </w:r>
      <w:r w:rsidRPr="009858BB">
        <w:rPr>
          <w:rFonts w:ascii="Cambria" w:hAnsi="Cambria"/>
          <w:sz w:val="18"/>
          <w:szCs w:val="18"/>
        </w:rPr>
        <w:t>Economic Commission for Latin America and the Caribbean’ (ECLAC</w:t>
      </w:r>
      <w:r>
        <w:rPr>
          <w:sz w:val="24"/>
          <w:szCs w:val="24"/>
        </w:rPr>
        <w:t>)</w:t>
      </w:r>
      <w:r>
        <w:t xml:space="preserve"> </w:t>
      </w:r>
      <w:hyperlink r:id="rId2" w:history="1">
        <w:r w:rsidR="00085668" w:rsidRPr="009A0302">
          <w:rPr>
            <w:rStyle w:val="Hyperlink"/>
            <w:rFonts w:ascii="Cambria" w:hAnsi="Cambria"/>
            <w:sz w:val="18"/>
            <w:szCs w:val="18"/>
          </w:rPr>
          <w:t>https://www.cepal.org/sites/default/files/pr/files/table_press_gdp_preliminaryoverview2020-eng.pdf</w:t>
        </w:r>
      </w:hyperlink>
    </w:p>
    <w:p w14:paraId="4CD3CC6A" w14:textId="77777777" w:rsidR="00085668" w:rsidRDefault="00085668" w:rsidP="009828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982C" w14:textId="77777777" w:rsidR="00230BD9" w:rsidRDefault="00230BD9">
    <w:pPr>
      <w:pStyle w:val="Heade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64EBD"/>
    <w:multiLevelType w:val="hybridMultilevel"/>
    <w:tmpl w:val="E4EA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E1"/>
    <w:rsid w:val="00000BB8"/>
    <w:rsid w:val="00002354"/>
    <w:rsid w:val="0000335A"/>
    <w:rsid w:val="0000412C"/>
    <w:rsid w:val="000042A6"/>
    <w:rsid w:val="0000483B"/>
    <w:rsid w:val="000058F2"/>
    <w:rsid w:val="00005C0E"/>
    <w:rsid w:val="00006068"/>
    <w:rsid w:val="0000652E"/>
    <w:rsid w:val="00010310"/>
    <w:rsid w:val="00012A49"/>
    <w:rsid w:val="000154A5"/>
    <w:rsid w:val="00017B47"/>
    <w:rsid w:val="0002009B"/>
    <w:rsid w:val="00020A0F"/>
    <w:rsid w:val="00021265"/>
    <w:rsid w:val="000228C7"/>
    <w:rsid w:val="00023CC7"/>
    <w:rsid w:val="00024859"/>
    <w:rsid w:val="00025263"/>
    <w:rsid w:val="0002615A"/>
    <w:rsid w:val="00026CAB"/>
    <w:rsid w:val="00030EA6"/>
    <w:rsid w:val="00031269"/>
    <w:rsid w:val="000328FA"/>
    <w:rsid w:val="000343EB"/>
    <w:rsid w:val="0003628D"/>
    <w:rsid w:val="000363FF"/>
    <w:rsid w:val="00036BB3"/>
    <w:rsid w:val="00041843"/>
    <w:rsid w:val="0004209F"/>
    <w:rsid w:val="0004262F"/>
    <w:rsid w:val="00043127"/>
    <w:rsid w:val="00043546"/>
    <w:rsid w:val="000435F0"/>
    <w:rsid w:val="0004364F"/>
    <w:rsid w:val="00043BF9"/>
    <w:rsid w:val="00043C2A"/>
    <w:rsid w:val="00044050"/>
    <w:rsid w:val="00044F53"/>
    <w:rsid w:val="00047D55"/>
    <w:rsid w:val="000517B2"/>
    <w:rsid w:val="000519D3"/>
    <w:rsid w:val="00052228"/>
    <w:rsid w:val="00052600"/>
    <w:rsid w:val="000528F8"/>
    <w:rsid w:val="00052DA5"/>
    <w:rsid w:val="00052EFC"/>
    <w:rsid w:val="00053F91"/>
    <w:rsid w:val="00054CD0"/>
    <w:rsid w:val="00056418"/>
    <w:rsid w:val="00056FDF"/>
    <w:rsid w:val="0005761B"/>
    <w:rsid w:val="00057784"/>
    <w:rsid w:val="000606B8"/>
    <w:rsid w:val="000615C6"/>
    <w:rsid w:val="00063690"/>
    <w:rsid w:val="00063EF4"/>
    <w:rsid w:val="0006484C"/>
    <w:rsid w:val="00065CDE"/>
    <w:rsid w:val="000672BA"/>
    <w:rsid w:val="00070C52"/>
    <w:rsid w:val="000722AA"/>
    <w:rsid w:val="00072AE6"/>
    <w:rsid w:val="00072E3C"/>
    <w:rsid w:val="00073C7F"/>
    <w:rsid w:val="000775CD"/>
    <w:rsid w:val="00077C08"/>
    <w:rsid w:val="000820DD"/>
    <w:rsid w:val="000848D7"/>
    <w:rsid w:val="00085668"/>
    <w:rsid w:val="000869CE"/>
    <w:rsid w:val="000905E0"/>
    <w:rsid w:val="00090ED5"/>
    <w:rsid w:val="00093D7E"/>
    <w:rsid w:val="000946C5"/>
    <w:rsid w:val="000955EF"/>
    <w:rsid w:val="00097AE9"/>
    <w:rsid w:val="000A15D2"/>
    <w:rsid w:val="000A1807"/>
    <w:rsid w:val="000A3306"/>
    <w:rsid w:val="000A4147"/>
    <w:rsid w:val="000A5A31"/>
    <w:rsid w:val="000A5EBC"/>
    <w:rsid w:val="000A6D42"/>
    <w:rsid w:val="000B014E"/>
    <w:rsid w:val="000B0579"/>
    <w:rsid w:val="000B3FAD"/>
    <w:rsid w:val="000B573A"/>
    <w:rsid w:val="000B59A7"/>
    <w:rsid w:val="000B5B10"/>
    <w:rsid w:val="000B6FEF"/>
    <w:rsid w:val="000B746C"/>
    <w:rsid w:val="000B75F1"/>
    <w:rsid w:val="000C07A3"/>
    <w:rsid w:val="000C1E4D"/>
    <w:rsid w:val="000C2FB2"/>
    <w:rsid w:val="000C4686"/>
    <w:rsid w:val="000C56D1"/>
    <w:rsid w:val="000C7406"/>
    <w:rsid w:val="000C7AD2"/>
    <w:rsid w:val="000D1049"/>
    <w:rsid w:val="000D1E57"/>
    <w:rsid w:val="000D2917"/>
    <w:rsid w:val="000D672D"/>
    <w:rsid w:val="000D75BF"/>
    <w:rsid w:val="000D78B4"/>
    <w:rsid w:val="000D7920"/>
    <w:rsid w:val="000E092B"/>
    <w:rsid w:val="000E0C0F"/>
    <w:rsid w:val="000E0F57"/>
    <w:rsid w:val="000E124E"/>
    <w:rsid w:val="000E1894"/>
    <w:rsid w:val="000E194D"/>
    <w:rsid w:val="000E5DC4"/>
    <w:rsid w:val="000E680F"/>
    <w:rsid w:val="000E6F69"/>
    <w:rsid w:val="000F02D0"/>
    <w:rsid w:val="000F0536"/>
    <w:rsid w:val="000F130D"/>
    <w:rsid w:val="000F1F6A"/>
    <w:rsid w:val="000F529D"/>
    <w:rsid w:val="000F53C0"/>
    <w:rsid w:val="000F5876"/>
    <w:rsid w:val="000F5FFA"/>
    <w:rsid w:val="000F7967"/>
    <w:rsid w:val="001023E4"/>
    <w:rsid w:val="00103CD3"/>
    <w:rsid w:val="00110699"/>
    <w:rsid w:val="001123EC"/>
    <w:rsid w:val="00112800"/>
    <w:rsid w:val="00113EBA"/>
    <w:rsid w:val="001208E0"/>
    <w:rsid w:val="00123B10"/>
    <w:rsid w:val="00123CD2"/>
    <w:rsid w:val="00125817"/>
    <w:rsid w:val="00125D0F"/>
    <w:rsid w:val="00130F21"/>
    <w:rsid w:val="001312BB"/>
    <w:rsid w:val="001315A8"/>
    <w:rsid w:val="00132AE2"/>
    <w:rsid w:val="00135953"/>
    <w:rsid w:val="00136D3C"/>
    <w:rsid w:val="00137939"/>
    <w:rsid w:val="00143349"/>
    <w:rsid w:val="001459C1"/>
    <w:rsid w:val="001463AC"/>
    <w:rsid w:val="001463D1"/>
    <w:rsid w:val="001474E7"/>
    <w:rsid w:val="00151A41"/>
    <w:rsid w:val="001548FE"/>
    <w:rsid w:val="00154E94"/>
    <w:rsid w:val="00155891"/>
    <w:rsid w:val="00155D13"/>
    <w:rsid w:val="00156010"/>
    <w:rsid w:val="0015668E"/>
    <w:rsid w:val="0015674F"/>
    <w:rsid w:val="001571B0"/>
    <w:rsid w:val="00157A45"/>
    <w:rsid w:val="00161C92"/>
    <w:rsid w:val="0016269D"/>
    <w:rsid w:val="00164A13"/>
    <w:rsid w:val="0016615B"/>
    <w:rsid w:val="00170834"/>
    <w:rsid w:val="00173362"/>
    <w:rsid w:val="00173C7C"/>
    <w:rsid w:val="00174C18"/>
    <w:rsid w:val="00176FEF"/>
    <w:rsid w:val="0017706A"/>
    <w:rsid w:val="001776A9"/>
    <w:rsid w:val="00177932"/>
    <w:rsid w:val="00177E3D"/>
    <w:rsid w:val="0018069B"/>
    <w:rsid w:val="00181B93"/>
    <w:rsid w:val="0018360E"/>
    <w:rsid w:val="00183748"/>
    <w:rsid w:val="00183B8F"/>
    <w:rsid w:val="00186059"/>
    <w:rsid w:val="0018633D"/>
    <w:rsid w:val="00193018"/>
    <w:rsid w:val="00193B2C"/>
    <w:rsid w:val="001944CB"/>
    <w:rsid w:val="00194B3E"/>
    <w:rsid w:val="00195C96"/>
    <w:rsid w:val="001A036F"/>
    <w:rsid w:val="001A272C"/>
    <w:rsid w:val="001A2C10"/>
    <w:rsid w:val="001A3059"/>
    <w:rsid w:val="001A570C"/>
    <w:rsid w:val="001A62BD"/>
    <w:rsid w:val="001A6928"/>
    <w:rsid w:val="001B0683"/>
    <w:rsid w:val="001B07F8"/>
    <w:rsid w:val="001B1302"/>
    <w:rsid w:val="001B1E8D"/>
    <w:rsid w:val="001B2608"/>
    <w:rsid w:val="001B28CD"/>
    <w:rsid w:val="001B2AE0"/>
    <w:rsid w:val="001B30BF"/>
    <w:rsid w:val="001B3601"/>
    <w:rsid w:val="001B3FC9"/>
    <w:rsid w:val="001B3FDC"/>
    <w:rsid w:val="001B5F28"/>
    <w:rsid w:val="001B67F4"/>
    <w:rsid w:val="001C0559"/>
    <w:rsid w:val="001C0B7C"/>
    <w:rsid w:val="001C0C2F"/>
    <w:rsid w:val="001D2253"/>
    <w:rsid w:val="001D2270"/>
    <w:rsid w:val="001D2433"/>
    <w:rsid w:val="001D2D7B"/>
    <w:rsid w:val="001D3ADA"/>
    <w:rsid w:val="001D57C4"/>
    <w:rsid w:val="001D630D"/>
    <w:rsid w:val="001E0CDF"/>
    <w:rsid w:val="001E0FFB"/>
    <w:rsid w:val="001E14F0"/>
    <w:rsid w:val="001E14FC"/>
    <w:rsid w:val="001E4CF0"/>
    <w:rsid w:val="001E51E1"/>
    <w:rsid w:val="001E62AB"/>
    <w:rsid w:val="001E7103"/>
    <w:rsid w:val="001F08F3"/>
    <w:rsid w:val="001F302B"/>
    <w:rsid w:val="001F3E63"/>
    <w:rsid w:val="001F47C2"/>
    <w:rsid w:val="001F5149"/>
    <w:rsid w:val="001F5884"/>
    <w:rsid w:val="002037DF"/>
    <w:rsid w:val="002039C7"/>
    <w:rsid w:val="0020495F"/>
    <w:rsid w:val="00205225"/>
    <w:rsid w:val="002064B6"/>
    <w:rsid w:val="00211B1C"/>
    <w:rsid w:val="00212970"/>
    <w:rsid w:val="002131CA"/>
    <w:rsid w:val="002148BC"/>
    <w:rsid w:val="0022211C"/>
    <w:rsid w:val="00223AD9"/>
    <w:rsid w:val="002266BA"/>
    <w:rsid w:val="0022690D"/>
    <w:rsid w:val="0022771D"/>
    <w:rsid w:val="002302FB"/>
    <w:rsid w:val="00230BD9"/>
    <w:rsid w:val="00231FC1"/>
    <w:rsid w:val="00233C9A"/>
    <w:rsid w:val="00233E35"/>
    <w:rsid w:val="002342B2"/>
    <w:rsid w:val="00234837"/>
    <w:rsid w:val="002361C0"/>
    <w:rsid w:val="00236E23"/>
    <w:rsid w:val="002427E4"/>
    <w:rsid w:val="00244401"/>
    <w:rsid w:val="002502CC"/>
    <w:rsid w:val="002511C5"/>
    <w:rsid w:val="002514BC"/>
    <w:rsid w:val="00251D09"/>
    <w:rsid w:val="00254867"/>
    <w:rsid w:val="002557D8"/>
    <w:rsid w:val="002560E6"/>
    <w:rsid w:val="00256DDE"/>
    <w:rsid w:val="002614DD"/>
    <w:rsid w:val="0026208A"/>
    <w:rsid w:val="0026316E"/>
    <w:rsid w:val="00263EFB"/>
    <w:rsid w:val="00265C14"/>
    <w:rsid w:val="00265C75"/>
    <w:rsid w:val="00270919"/>
    <w:rsid w:val="00270AA4"/>
    <w:rsid w:val="0027223F"/>
    <w:rsid w:val="00272678"/>
    <w:rsid w:val="00272781"/>
    <w:rsid w:val="002746A0"/>
    <w:rsid w:val="002746C0"/>
    <w:rsid w:val="00274BE9"/>
    <w:rsid w:val="00276B62"/>
    <w:rsid w:val="002808F7"/>
    <w:rsid w:val="002846D3"/>
    <w:rsid w:val="002847E4"/>
    <w:rsid w:val="00284C03"/>
    <w:rsid w:val="00285C71"/>
    <w:rsid w:val="0028627E"/>
    <w:rsid w:val="00286F5B"/>
    <w:rsid w:val="002940EE"/>
    <w:rsid w:val="0029555F"/>
    <w:rsid w:val="00295984"/>
    <w:rsid w:val="002963FA"/>
    <w:rsid w:val="00296488"/>
    <w:rsid w:val="002A0FD7"/>
    <w:rsid w:val="002A60DE"/>
    <w:rsid w:val="002B20FA"/>
    <w:rsid w:val="002B23B8"/>
    <w:rsid w:val="002B4CAB"/>
    <w:rsid w:val="002B59D1"/>
    <w:rsid w:val="002B5C6C"/>
    <w:rsid w:val="002B63BD"/>
    <w:rsid w:val="002B6C5E"/>
    <w:rsid w:val="002C0C94"/>
    <w:rsid w:val="002C0CE9"/>
    <w:rsid w:val="002C144D"/>
    <w:rsid w:val="002C19A5"/>
    <w:rsid w:val="002C1B67"/>
    <w:rsid w:val="002C3952"/>
    <w:rsid w:val="002C3FD9"/>
    <w:rsid w:val="002C4888"/>
    <w:rsid w:val="002C4E52"/>
    <w:rsid w:val="002C595C"/>
    <w:rsid w:val="002C7035"/>
    <w:rsid w:val="002C75E4"/>
    <w:rsid w:val="002D019F"/>
    <w:rsid w:val="002D03E9"/>
    <w:rsid w:val="002D138F"/>
    <w:rsid w:val="002D18EE"/>
    <w:rsid w:val="002D403D"/>
    <w:rsid w:val="002D5DC9"/>
    <w:rsid w:val="002D5F71"/>
    <w:rsid w:val="002D78D1"/>
    <w:rsid w:val="002E0269"/>
    <w:rsid w:val="002E0AA7"/>
    <w:rsid w:val="002E25AA"/>
    <w:rsid w:val="002E2BA3"/>
    <w:rsid w:val="002E2D8A"/>
    <w:rsid w:val="002E4B35"/>
    <w:rsid w:val="002E5354"/>
    <w:rsid w:val="002E60B5"/>
    <w:rsid w:val="002E796F"/>
    <w:rsid w:val="002E7C74"/>
    <w:rsid w:val="002F279B"/>
    <w:rsid w:val="002F4CD5"/>
    <w:rsid w:val="00300A55"/>
    <w:rsid w:val="00301388"/>
    <w:rsid w:val="00301456"/>
    <w:rsid w:val="003023D4"/>
    <w:rsid w:val="00302441"/>
    <w:rsid w:val="003056B6"/>
    <w:rsid w:val="00307EEF"/>
    <w:rsid w:val="003103FD"/>
    <w:rsid w:val="00310D44"/>
    <w:rsid w:val="00312266"/>
    <w:rsid w:val="00315498"/>
    <w:rsid w:val="0031683D"/>
    <w:rsid w:val="00316AA7"/>
    <w:rsid w:val="00317D6C"/>
    <w:rsid w:val="003203C7"/>
    <w:rsid w:val="00323E50"/>
    <w:rsid w:val="003247A5"/>
    <w:rsid w:val="003267CD"/>
    <w:rsid w:val="00327B06"/>
    <w:rsid w:val="00327F95"/>
    <w:rsid w:val="00330F38"/>
    <w:rsid w:val="00331A5A"/>
    <w:rsid w:val="00332A2E"/>
    <w:rsid w:val="00333C32"/>
    <w:rsid w:val="00334002"/>
    <w:rsid w:val="003348A2"/>
    <w:rsid w:val="00334F79"/>
    <w:rsid w:val="003361D8"/>
    <w:rsid w:val="00337E2D"/>
    <w:rsid w:val="00341534"/>
    <w:rsid w:val="003415B3"/>
    <w:rsid w:val="00342462"/>
    <w:rsid w:val="00342CE6"/>
    <w:rsid w:val="0034545F"/>
    <w:rsid w:val="0034565C"/>
    <w:rsid w:val="0034637B"/>
    <w:rsid w:val="00346454"/>
    <w:rsid w:val="003464E7"/>
    <w:rsid w:val="00346960"/>
    <w:rsid w:val="0034756A"/>
    <w:rsid w:val="00350C75"/>
    <w:rsid w:val="00350EC2"/>
    <w:rsid w:val="00352648"/>
    <w:rsid w:val="00352C0E"/>
    <w:rsid w:val="00352E89"/>
    <w:rsid w:val="00354C5C"/>
    <w:rsid w:val="00354FAA"/>
    <w:rsid w:val="00355B0D"/>
    <w:rsid w:val="00356834"/>
    <w:rsid w:val="00360046"/>
    <w:rsid w:val="00360460"/>
    <w:rsid w:val="00360AA3"/>
    <w:rsid w:val="0036128F"/>
    <w:rsid w:val="00361B75"/>
    <w:rsid w:val="003624A5"/>
    <w:rsid w:val="00362794"/>
    <w:rsid w:val="00363515"/>
    <w:rsid w:val="00365322"/>
    <w:rsid w:val="00374045"/>
    <w:rsid w:val="00375CC6"/>
    <w:rsid w:val="00382AB8"/>
    <w:rsid w:val="00382EFB"/>
    <w:rsid w:val="00386060"/>
    <w:rsid w:val="00386660"/>
    <w:rsid w:val="00392605"/>
    <w:rsid w:val="00392B46"/>
    <w:rsid w:val="003A06A2"/>
    <w:rsid w:val="003A141F"/>
    <w:rsid w:val="003A1997"/>
    <w:rsid w:val="003A35B7"/>
    <w:rsid w:val="003A47BE"/>
    <w:rsid w:val="003A569E"/>
    <w:rsid w:val="003A5842"/>
    <w:rsid w:val="003A65E0"/>
    <w:rsid w:val="003A6CA4"/>
    <w:rsid w:val="003A7B35"/>
    <w:rsid w:val="003B0BB2"/>
    <w:rsid w:val="003B2BA4"/>
    <w:rsid w:val="003B38C2"/>
    <w:rsid w:val="003B458C"/>
    <w:rsid w:val="003B4A40"/>
    <w:rsid w:val="003B4BE2"/>
    <w:rsid w:val="003B4ECE"/>
    <w:rsid w:val="003B537F"/>
    <w:rsid w:val="003B5DB7"/>
    <w:rsid w:val="003B7DBF"/>
    <w:rsid w:val="003C0D4B"/>
    <w:rsid w:val="003C2F6A"/>
    <w:rsid w:val="003C6098"/>
    <w:rsid w:val="003D03AF"/>
    <w:rsid w:val="003D1823"/>
    <w:rsid w:val="003D1B57"/>
    <w:rsid w:val="003D264B"/>
    <w:rsid w:val="003D2C93"/>
    <w:rsid w:val="003D37A9"/>
    <w:rsid w:val="003D3843"/>
    <w:rsid w:val="003E5CAB"/>
    <w:rsid w:val="003E666A"/>
    <w:rsid w:val="003F0D8E"/>
    <w:rsid w:val="003F1316"/>
    <w:rsid w:val="003F17CB"/>
    <w:rsid w:val="003F2064"/>
    <w:rsid w:val="003F2483"/>
    <w:rsid w:val="003F2BE4"/>
    <w:rsid w:val="003F4180"/>
    <w:rsid w:val="003F46B0"/>
    <w:rsid w:val="003F4F15"/>
    <w:rsid w:val="003F6F60"/>
    <w:rsid w:val="003F708C"/>
    <w:rsid w:val="003F73E8"/>
    <w:rsid w:val="003F7882"/>
    <w:rsid w:val="00400EE9"/>
    <w:rsid w:val="00401B73"/>
    <w:rsid w:val="00402D07"/>
    <w:rsid w:val="00404475"/>
    <w:rsid w:val="00404B0D"/>
    <w:rsid w:val="00407120"/>
    <w:rsid w:val="00410E9D"/>
    <w:rsid w:val="00411F31"/>
    <w:rsid w:val="00414FE0"/>
    <w:rsid w:val="00415275"/>
    <w:rsid w:val="004152FC"/>
    <w:rsid w:val="004156A0"/>
    <w:rsid w:val="00417A6E"/>
    <w:rsid w:val="0042093A"/>
    <w:rsid w:val="00421607"/>
    <w:rsid w:val="004251C7"/>
    <w:rsid w:val="004254F3"/>
    <w:rsid w:val="00426EED"/>
    <w:rsid w:val="004273BE"/>
    <w:rsid w:val="00432AA2"/>
    <w:rsid w:val="00434BC3"/>
    <w:rsid w:val="00435D78"/>
    <w:rsid w:val="00440CC2"/>
    <w:rsid w:val="00443201"/>
    <w:rsid w:val="00443737"/>
    <w:rsid w:val="00443B91"/>
    <w:rsid w:val="00446DD6"/>
    <w:rsid w:val="00450146"/>
    <w:rsid w:val="0045054C"/>
    <w:rsid w:val="00451E27"/>
    <w:rsid w:val="00453039"/>
    <w:rsid w:val="00453EBB"/>
    <w:rsid w:val="00455CD9"/>
    <w:rsid w:val="00457003"/>
    <w:rsid w:val="00460A39"/>
    <w:rsid w:val="004615FD"/>
    <w:rsid w:val="00462E49"/>
    <w:rsid w:val="00463CB6"/>
    <w:rsid w:val="004641EA"/>
    <w:rsid w:val="0046429D"/>
    <w:rsid w:val="00467829"/>
    <w:rsid w:val="0047042E"/>
    <w:rsid w:val="0047079C"/>
    <w:rsid w:val="00470801"/>
    <w:rsid w:val="00471764"/>
    <w:rsid w:val="0047244C"/>
    <w:rsid w:val="00472BA7"/>
    <w:rsid w:val="00473605"/>
    <w:rsid w:val="00473E6F"/>
    <w:rsid w:val="0047580B"/>
    <w:rsid w:val="00476074"/>
    <w:rsid w:val="0047686C"/>
    <w:rsid w:val="00477C15"/>
    <w:rsid w:val="00481372"/>
    <w:rsid w:val="004816AF"/>
    <w:rsid w:val="004823A4"/>
    <w:rsid w:val="0048243B"/>
    <w:rsid w:val="004873C6"/>
    <w:rsid w:val="00487A20"/>
    <w:rsid w:val="00490698"/>
    <w:rsid w:val="00490E99"/>
    <w:rsid w:val="004939EB"/>
    <w:rsid w:val="0049432B"/>
    <w:rsid w:val="004960EF"/>
    <w:rsid w:val="004A2AC0"/>
    <w:rsid w:val="004A470E"/>
    <w:rsid w:val="004A4B4E"/>
    <w:rsid w:val="004A68E2"/>
    <w:rsid w:val="004A6B1E"/>
    <w:rsid w:val="004A6BDF"/>
    <w:rsid w:val="004A7579"/>
    <w:rsid w:val="004B100C"/>
    <w:rsid w:val="004B2973"/>
    <w:rsid w:val="004B31DF"/>
    <w:rsid w:val="004B3858"/>
    <w:rsid w:val="004B3A34"/>
    <w:rsid w:val="004B48D1"/>
    <w:rsid w:val="004B7A61"/>
    <w:rsid w:val="004C1B38"/>
    <w:rsid w:val="004C239E"/>
    <w:rsid w:val="004C415F"/>
    <w:rsid w:val="004C4D07"/>
    <w:rsid w:val="004C5D30"/>
    <w:rsid w:val="004D022E"/>
    <w:rsid w:val="004D0D87"/>
    <w:rsid w:val="004D0EEE"/>
    <w:rsid w:val="004D1FA4"/>
    <w:rsid w:val="004D30C0"/>
    <w:rsid w:val="004D3DEF"/>
    <w:rsid w:val="004D4446"/>
    <w:rsid w:val="004D7D69"/>
    <w:rsid w:val="004E1329"/>
    <w:rsid w:val="004E2163"/>
    <w:rsid w:val="004E2D1A"/>
    <w:rsid w:val="004E434C"/>
    <w:rsid w:val="004E50ED"/>
    <w:rsid w:val="004E6B6C"/>
    <w:rsid w:val="004F0CCE"/>
    <w:rsid w:val="0050144F"/>
    <w:rsid w:val="00503A86"/>
    <w:rsid w:val="005055E7"/>
    <w:rsid w:val="005105C7"/>
    <w:rsid w:val="005105D9"/>
    <w:rsid w:val="00510AED"/>
    <w:rsid w:val="00510B77"/>
    <w:rsid w:val="00514A79"/>
    <w:rsid w:val="00514CF5"/>
    <w:rsid w:val="005165AA"/>
    <w:rsid w:val="00516EC2"/>
    <w:rsid w:val="005208D8"/>
    <w:rsid w:val="005209A4"/>
    <w:rsid w:val="005219AA"/>
    <w:rsid w:val="00522AEE"/>
    <w:rsid w:val="00523226"/>
    <w:rsid w:val="00523A5E"/>
    <w:rsid w:val="00523E99"/>
    <w:rsid w:val="00524DBA"/>
    <w:rsid w:val="00526C0B"/>
    <w:rsid w:val="00527A80"/>
    <w:rsid w:val="00530451"/>
    <w:rsid w:val="00530F01"/>
    <w:rsid w:val="00533D22"/>
    <w:rsid w:val="00533D60"/>
    <w:rsid w:val="00533E8C"/>
    <w:rsid w:val="00535BEF"/>
    <w:rsid w:val="00536F72"/>
    <w:rsid w:val="0054014A"/>
    <w:rsid w:val="0054205D"/>
    <w:rsid w:val="005438DB"/>
    <w:rsid w:val="0055090C"/>
    <w:rsid w:val="0055174E"/>
    <w:rsid w:val="00553B8F"/>
    <w:rsid w:val="00553ECC"/>
    <w:rsid w:val="00553F63"/>
    <w:rsid w:val="0055401E"/>
    <w:rsid w:val="005546D0"/>
    <w:rsid w:val="00556801"/>
    <w:rsid w:val="005569D0"/>
    <w:rsid w:val="005570C8"/>
    <w:rsid w:val="005573CC"/>
    <w:rsid w:val="005576D4"/>
    <w:rsid w:val="00557967"/>
    <w:rsid w:val="00557F50"/>
    <w:rsid w:val="00562BB2"/>
    <w:rsid w:val="00564764"/>
    <w:rsid w:val="00565091"/>
    <w:rsid w:val="00565180"/>
    <w:rsid w:val="00566084"/>
    <w:rsid w:val="00571086"/>
    <w:rsid w:val="00571D35"/>
    <w:rsid w:val="00574F38"/>
    <w:rsid w:val="00576260"/>
    <w:rsid w:val="00581886"/>
    <w:rsid w:val="0058631C"/>
    <w:rsid w:val="005865FB"/>
    <w:rsid w:val="00592B60"/>
    <w:rsid w:val="00593B8B"/>
    <w:rsid w:val="00594B56"/>
    <w:rsid w:val="005956BD"/>
    <w:rsid w:val="005A04C6"/>
    <w:rsid w:val="005A0772"/>
    <w:rsid w:val="005A1F88"/>
    <w:rsid w:val="005A4EF8"/>
    <w:rsid w:val="005A63FE"/>
    <w:rsid w:val="005A6F38"/>
    <w:rsid w:val="005A70E8"/>
    <w:rsid w:val="005A7B0F"/>
    <w:rsid w:val="005B4348"/>
    <w:rsid w:val="005B5BF6"/>
    <w:rsid w:val="005B655C"/>
    <w:rsid w:val="005B71D0"/>
    <w:rsid w:val="005C1FFF"/>
    <w:rsid w:val="005C289A"/>
    <w:rsid w:val="005C29F4"/>
    <w:rsid w:val="005C3A3A"/>
    <w:rsid w:val="005C560A"/>
    <w:rsid w:val="005C60E1"/>
    <w:rsid w:val="005D24AD"/>
    <w:rsid w:val="005D2D3D"/>
    <w:rsid w:val="005D3FBF"/>
    <w:rsid w:val="005D4162"/>
    <w:rsid w:val="005D49AE"/>
    <w:rsid w:val="005D712F"/>
    <w:rsid w:val="005E17D8"/>
    <w:rsid w:val="005E293F"/>
    <w:rsid w:val="005E76E8"/>
    <w:rsid w:val="005F0118"/>
    <w:rsid w:val="005F08C0"/>
    <w:rsid w:val="005F11A0"/>
    <w:rsid w:val="005F1EAA"/>
    <w:rsid w:val="005F22B3"/>
    <w:rsid w:val="005F350E"/>
    <w:rsid w:val="005F497D"/>
    <w:rsid w:val="005F5510"/>
    <w:rsid w:val="00600077"/>
    <w:rsid w:val="0060051A"/>
    <w:rsid w:val="0060339B"/>
    <w:rsid w:val="00604687"/>
    <w:rsid w:val="006050D4"/>
    <w:rsid w:val="0060655D"/>
    <w:rsid w:val="00606EB5"/>
    <w:rsid w:val="006073F2"/>
    <w:rsid w:val="00607938"/>
    <w:rsid w:val="00607AEB"/>
    <w:rsid w:val="00607F1B"/>
    <w:rsid w:val="00610008"/>
    <w:rsid w:val="00612934"/>
    <w:rsid w:val="0061562C"/>
    <w:rsid w:val="00617281"/>
    <w:rsid w:val="0061792D"/>
    <w:rsid w:val="00617B21"/>
    <w:rsid w:val="00622139"/>
    <w:rsid w:val="00626275"/>
    <w:rsid w:val="00627A2A"/>
    <w:rsid w:val="00630188"/>
    <w:rsid w:val="00631EB2"/>
    <w:rsid w:val="0063221D"/>
    <w:rsid w:val="0063327C"/>
    <w:rsid w:val="0063348C"/>
    <w:rsid w:val="0063356B"/>
    <w:rsid w:val="00633A2A"/>
    <w:rsid w:val="00633DF7"/>
    <w:rsid w:val="0063419C"/>
    <w:rsid w:val="0063541D"/>
    <w:rsid w:val="00635E56"/>
    <w:rsid w:val="00635F92"/>
    <w:rsid w:val="00637304"/>
    <w:rsid w:val="006379D7"/>
    <w:rsid w:val="00641EF5"/>
    <w:rsid w:val="00642435"/>
    <w:rsid w:val="00642F18"/>
    <w:rsid w:val="00643FCA"/>
    <w:rsid w:val="00644742"/>
    <w:rsid w:val="006457DD"/>
    <w:rsid w:val="0064677B"/>
    <w:rsid w:val="006469E7"/>
    <w:rsid w:val="00646BBE"/>
    <w:rsid w:val="00647F06"/>
    <w:rsid w:val="0065019D"/>
    <w:rsid w:val="00650ED7"/>
    <w:rsid w:val="00650F0F"/>
    <w:rsid w:val="006515A2"/>
    <w:rsid w:val="00654E14"/>
    <w:rsid w:val="00655682"/>
    <w:rsid w:val="006564C9"/>
    <w:rsid w:val="00656C27"/>
    <w:rsid w:val="00656F0A"/>
    <w:rsid w:val="0065729D"/>
    <w:rsid w:val="006572BF"/>
    <w:rsid w:val="00657DBD"/>
    <w:rsid w:val="00660F13"/>
    <w:rsid w:val="00661B5D"/>
    <w:rsid w:val="00662372"/>
    <w:rsid w:val="006640EE"/>
    <w:rsid w:val="00664335"/>
    <w:rsid w:val="0066722F"/>
    <w:rsid w:val="00667A3A"/>
    <w:rsid w:val="00667B3A"/>
    <w:rsid w:val="00670ACB"/>
    <w:rsid w:val="00671891"/>
    <w:rsid w:val="0067232A"/>
    <w:rsid w:val="006737E5"/>
    <w:rsid w:val="006749F5"/>
    <w:rsid w:val="00675E88"/>
    <w:rsid w:val="0067730B"/>
    <w:rsid w:val="00677812"/>
    <w:rsid w:val="0067785D"/>
    <w:rsid w:val="006802FC"/>
    <w:rsid w:val="006804AE"/>
    <w:rsid w:val="00681060"/>
    <w:rsid w:val="00681B83"/>
    <w:rsid w:val="006832B9"/>
    <w:rsid w:val="00683721"/>
    <w:rsid w:val="00684210"/>
    <w:rsid w:val="00685137"/>
    <w:rsid w:val="00685826"/>
    <w:rsid w:val="006858FD"/>
    <w:rsid w:val="00690084"/>
    <w:rsid w:val="0069201E"/>
    <w:rsid w:val="006940D8"/>
    <w:rsid w:val="006940FB"/>
    <w:rsid w:val="00694FFA"/>
    <w:rsid w:val="00695657"/>
    <w:rsid w:val="00696834"/>
    <w:rsid w:val="00696A38"/>
    <w:rsid w:val="006A248D"/>
    <w:rsid w:val="006A391E"/>
    <w:rsid w:val="006A48AB"/>
    <w:rsid w:val="006A4C71"/>
    <w:rsid w:val="006A54D7"/>
    <w:rsid w:val="006A7354"/>
    <w:rsid w:val="006B00B1"/>
    <w:rsid w:val="006B01FA"/>
    <w:rsid w:val="006B0651"/>
    <w:rsid w:val="006B090E"/>
    <w:rsid w:val="006B095D"/>
    <w:rsid w:val="006B557B"/>
    <w:rsid w:val="006B6CF0"/>
    <w:rsid w:val="006C1225"/>
    <w:rsid w:val="006C172F"/>
    <w:rsid w:val="006C17C6"/>
    <w:rsid w:val="006C2B74"/>
    <w:rsid w:val="006C32F0"/>
    <w:rsid w:val="006C34B2"/>
    <w:rsid w:val="006C3690"/>
    <w:rsid w:val="006C48D5"/>
    <w:rsid w:val="006C49AB"/>
    <w:rsid w:val="006C66D1"/>
    <w:rsid w:val="006C7A1B"/>
    <w:rsid w:val="006C7E40"/>
    <w:rsid w:val="006D1431"/>
    <w:rsid w:val="006D1B30"/>
    <w:rsid w:val="006D21AD"/>
    <w:rsid w:val="006D38C7"/>
    <w:rsid w:val="006D42DA"/>
    <w:rsid w:val="006D47F3"/>
    <w:rsid w:val="006D51AD"/>
    <w:rsid w:val="006D61AC"/>
    <w:rsid w:val="006D6FA2"/>
    <w:rsid w:val="006D7B12"/>
    <w:rsid w:val="006E1FDE"/>
    <w:rsid w:val="006E2183"/>
    <w:rsid w:val="006E2C4A"/>
    <w:rsid w:val="006E3741"/>
    <w:rsid w:val="006E3D57"/>
    <w:rsid w:val="006E3EB6"/>
    <w:rsid w:val="006F037B"/>
    <w:rsid w:val="006F0389"/>
    <w:rsid w:val="006F314F"/>
    <w:rsid w:val="006F6175"/>
    <w:rsid w:val="006F6F83"/>
    <w:rsid w:val="006F75CE"/>
    <w:rsid w:val="00700377"/>
    <w:rsid w:val="007009D9"/>
    <w:rsid w:val="007032B3"/>
    <w:rsid w:val="00703B2F"/>
    <w:rsid w:val="00705A1C"/>
    <w:rsid w:val="00706DB6"/>
    <w:rsid w:val="00707900"/>
    <w:rsid w:val="00710669"/>
    <w:rsid w:val="00713A8E"/>
    <w:rsid w:val="00715C1E"/>
    <w:rsid w:val="007168A7"/>
    <w:rsid w:val="00717211"/>
    <w:rsid w:val="00720F48"/>
    <w:rsid w:val="0072166A"/>
    <w:rsid w:val="00721886"/>
    <w:rsid w:val="00721A8F"/>
    <w:rsid w:val="007229A9"/>
    <w:rsid w:val="007236FE"/>
    <w:rsid w:val="00724352"/>
    <w:rsid w:val="0072551A"/>
    <w:rsid w:val="00725EDA"/>
    <w:rsid w:val="007271A6"/>
    <w:rsid w:val="00731C0E"/>
    <w:rsid w:val="00731F22"/>
    <w:rsid w:val="00732442"/>
    <w:rsid w:val="0073450E"/>
    <w:rsid w:val="00734E6B"/>
    <w:rsid w:val="0073542E"/>
    <w:rsid w:val="00736982"/>
    <w:rsid w:val="007400FB"/>
    <w:rsid w:val="0074234C"/>
    <w:rsid w:val="00743CDF"/>
    <w:rsid w:val="007527FF"/>
    <w:rsid w:val="00752D51"/>
    <w:rsid w:val="00753CFC"/>
    <w:rsid w:val="00755E32"/>
    <w:rsid w:val="0076036F"/>
    <w:rsid w:val="00761AF9"/>
    <w:rsid w:val="007631BC"/>
    <w:rsid w:val="00765ACD"/>
    <w:rsid w:val="00767CDF"/>
    <w:rsid w:val="00770F19"/>
    <w:rsid w:val="0077204D"/>
    <w:rsid w:val="00772EDD"/>
    <w:rsid w:val="0077446C"/>
    <w:rsid w:val="00774501"/>
    <w:rsid w:val="00774AA5"/>
    <w:rsid w:val="007750F3"/>
    <w:rsid w:val="00776562"/>
    <w:rsid w:val="0078223E"/>
    <w:rsid w:val="007823DB"/>
    <w:rsid w:val="00783D88"/>
    <w:rsid w:val="00784F10"/>
    <w:rsid w:val="00785B05"/>
    <w:rsid w:val="00785B25"/>
    <w:rsid w:val="00786668"/>
    <w:rsid w:val="00786D22"/>
    <w:rsid w:val="00790E79"/>
    <w:rsid w:val="00792548"/>
    <w:rsid w:val="007929D7"/>
    <w:rsid w:val="00793B17"/>
    <w:rsid w:val="007942A0"/>
    <w:rsid w:val="00795346"/>
    <w:rsid w:val="007A24C9"/>
    <w:rsid w:val="007A2B68"/>
    <w:rsid w:val="007A47C6"/>
    <w:rsid w:val="007A4C12"/>
    <w:rsid w:val="007A54DB"/>
    <w:rsid w:val="007A5E71"/>
    <w:rsid w:val="007A688A"/>
    <w:rsid w:val="007B0889"/>
    <w:rsid w:val="007B1129"/>
    <w:rsid w:val="007B1AB5"/>
    <w:rsid w:val="007B2868"/>
    <w:rsid w:val="007B45AA"/>
    <w:rsid w:val="007B4D0C"/>
    <w:rsid w:val="007C195D"/>
    <w:rsid w:val="007C26C9"/>
    <w:rsid w:val="007C2866"/>
    <w:rsid w:val="007C3C2A"/>
    <w:rsid w:val="007C6256"/>
    <w:rsid w:val="007C64EA"/>
    <w:rsid w:val="007C6993"/>
    <w:rsid w:val="007C69E2"/>
    <w:rsid w:val="007D140C"/>
    <w:rsid w:val="007D14DB"/>
    <w:rsid w:val="007D1657"/>
    <w:rsid w:val="007D1B79"/>
    <w:rsid w:val="007D275F"/>
    <w:rsid w:val="007D2A42"/>
    <w:rsid w:val="007D7481"/>
    <w:rsid w:val="007D76D3"/>
    <w:rsid w:val="007E3118"/>
    <w:rsid w:val="007E3FA6"/>
    <w:rsid w:val="007E59F5"/>
    <w:rsid w:val="007E7459"/>
    <w:rsid w:val="007E79EF"/>
    <w:rsid w:val="007F0A9C"/>
    <w:rsid w:val="007F2367"/>
    <w:rsid w:val="007F250E"/>
    <w:rsid w:val="007F3635"/>
    <w:rsid w:val="007F3EE3"/>
    <w:rsid w:val="007F5EF3"/>
    <w:rsid w:val="007F60A8"/>
    <w:rsid w:val="007F618E"/>
    <w:rsid w:val="007F62E5"/>
    <w:rsid w:val="007F7607"/>
    <w:rsid w:val="00802948"/>
    <w:rsid w:val="00802E2A"/>
    <w:rsid w:val="00803D23"/>
    <w:rsid w:val="00803E88"/>
    <w:rsid w:val="00805FF9"/>
    <w:rsid w:val="00806F4F"/>
    <w:rsid w:val="008104B2"/>
    <w:rsid w:val="00810710"/>
    <w:rsid w:val="00812511"/>
    <w:rsid w:val="00813F78"/>
    <w:rsid w:val="00814F7A"/>
    <w:rsid w:val="00815325"/>
    <w:rsid w:val="00815531"/>
    <w:rsid w:val="008159C1"/>
    <w:rsid w:val="00815D38"/>
    <w:rsid w:val="00820FDD"/>
    <w:rsid w:val="00821C3D"/>
    <w:rsid w:val="00825619"/>
    <w:rsid w:val="00826400"/>
    <w:rsid w:val="008264E6"/>
    <w:rsid w:val="0082785F"/>
    <w:rsid w:val="00830250"/>
    <w:rsid w:val="0083138F"/>
    <w:rsid w:val="00832418"/>
    <w:rsid w:val="00834BC8"/>
    <w:rsid w:val="0083662F"/>
    <w:rsid w:val="00836A5A"/>
    <w:rsid w:val="008373DD"/>
    <w:rsid w:val="00837AF6"/>
    <w:rsid w:val="0084027F"/>
    <w:rsid w:val="00840DA1"/>
    <w:rsid w:val="00843EBE"/>
    <w:rsid w:val="00844154"/>
    <w:rsid w:val="00844B3A"/>
    <w:rsid w:val="008455A0"/>
    <w:rsid w:val="00847F6C"/>
    <w:rsid w:val="00853702"/>
    <w:rsid w:val="00855C01"/>
    <w:rsid w:val="00856171"/>
    <w:rsid w:val="008569B0"/>
    <w:rsid w:val="008573C8"/>
    <w:rsid w:val="00857EA6"/>
    <w:rsid w:val="00860496"/>
    <w:rsid w:val="00861CE0"/>
    <w:rsid w:val="008637F0"/>
    <w:rsid w:val="00864193"/>
    <w:rsid w:val="00864F33"/>
    <w:rsid w:val="00866600"/>
    <w:rsid w:val="00866BE2"/>
    <w:rsid w:val="008670E1"/>
    <w:rsid w:val="00872043"/>
    <w:rsid w:val="00874089"/>
    <w:rsid w:val="0087678A"/>
    <w:rsid w:val="0087696D"/>
    <w:rsid w:val="00877FD0"/>
    <w:rsid w:val="0088259A"/>
    <w:rsid w:val="00882C5D"/>
    <w:rsid w:val="00887CFD"/>
    <w:rsid w:val="00887FBE"/>
    <w:rsid w:val="00890315"/>
    <w:rsid w:val="00890377"/>
    <w:rsid w:val="00890C33"/>
    <w:rsid w:val="0089100B"/>
    <w:rsid w:val="00892C53"/>
    <w:rsid w:val="00894F01"/>
    <w:rsid w:val="0089564F"/>
    <w:rsid w:val="00895BD1"/>
    <w:rsid w:val="00895BD6"/>
    <w:rsid w:val="0089702E"/>
    <w:rsid w:val="00897287"/>
    <w:rsid w:val="00897CB7"/>
    <w:rsid w:val="008A06FF"/>
    <w:rsid w:val="008A4AAB"/>
    <w:rsid w:val="008A5698"/>
    <w:rsid w:val="008A63CE"/>
    <w:rsid w:val="008A67CB"/>
    <w:rsid w:val="008A6E86"/>
    <w:rsid w:val="008A7C5E"/>
    <w:rsid w:val="008B12B9"/>
    <w:rsid w:val="008B2225"/>
    <w:rsid w:val="008B494B"/>
    <w:rsid w:val="008B55D2"/>
    <w:rsid w:val="008B7FF3"/>
    <w:rsid w:val="008C057B"/>
    <w:rsid w:val="008C171C"/>
    <w:rsid w:val="008C1C48"/>
    <w:rsid w:val="008C27FB"/>
    <w:rsid w:val="008C354F"/>
    <w:rsid w:val="008C67B1"/>
    <w:rsid w:val="008C7277"/>
    <w:rsid w:val="008D0365"/>
    <w:rsid w:val="008D036B"/>
    <w:rsid w:val="008D193B"/>
    <w:rsid w:val="008D46DE"/>
    <w:rsid w:val="008D5244"/>
    <w:rsid w:val="008D566D"/>
    <w:rsid w:val="008D60A8"/>
    <w:rsid w:val="008D60C2"/>
    <w:rsid w:val="008D62F6"/>
    <w:rsid w:val="008E0A6F"/>
    <w:rsid w:val="008E0B7D"/>
    <w:rsid w:val="008E39E7"/>
    <w:rsid w:val="008E5247"/>
    <w:rsid w:val="008E52C3"/>
    <w:rsid w:val="008E6C45"/>
    <w:rsid w:val="008F3268"/>
    <w:rsid w:val="008F381D"/>
    <w:rsid w:val="008F431C"/>
    <w:rsid w:val="008F6268"/>
    <w:rsid w:val="008F6C34"/>
    <w:rsid w:val="009011A8"/>
    <w:rsid w:val="00901B1B"/>
    <w:rsid w:val="00902821"/>
    <w:rsid w:val="00904955"/>
    <w:rsid w:val="00905D0C"/>
    <w:rsid w:val="00905E7D"/>
    <w:rsid w:val="00906829"/>
    <w:rsid w:val="00907966"/>
    <w:rsid w:val="00910A01"/>
    <w:rsid w:val="00914918"/>
    <w:rsid w:val="0091620A"/>
    <w:rsid w:val="009167A1"/>
    <w:rsid w:val="00920232"/>
    <w:rsid w:val="0092664F"/>
    <w:rsid w:val="009269EB"/>
    <w:rsid w:val="0092747F"/>
    <w:rsid w:val="00931045"/>
    <w:rsid w:val="00933B85"/>
    <w:rsid w:val="00933C8E"/>
    <w:rsid w:val="0093486F"/>
    <w:rsid w:val="0093508C"/>
    <w:rsid w:val="00935CAE"/>
    <w:rsid w:val="009421AE"/>
    <w:rsid w:val="0094308F"/>
    <w:rsid w:val="00943F59"/>
    <w:rsid w:val="00945241"/>
    <w:rsid w:val="00946B81"/>
    <w:rsid w:val="00947EBA"/>
    <w:rsid w:val="009527E5"/>
    <w:rsid w:val="00952952"/>
    <w:rsid w:val="009543FC"/>
    <w:rsid w:val="0095631F"/>
    <w:rsid w:val="00956377"/>
    <w:rsid w:val="00956EF7"/>
    <w:rsid w:val="00960EDE"/>
    <w:rsid w:val="00961846"/>
    <w:rsid w:val="00962FDA"/>
    <w:rsid w:val="00963595"/>
    <w:rsid w:val="00963649"/>
    <w:rsid w:val="009639EC"/>
    <w:rsid w:val="00964333"/>
    <w:rsid w:val="0096502F"/>
    <w:rsid w:val="0096559D"/>
    <w:rsid w:val="009664A7"/>
    <w:rsid w:val="00971738"/>
    <w:rsid w:val="009728AA"/>
    <w:rsid w:val="00974798"/>
    <w:rsid w:val="00976D3C"/>
    <w:rsid w:val="0098281F"/>
    <w:rsid w:val="00984A71"/>
    <w:rsid w:val="009858BB"/>
    <w:rsid w:val="0098639C"/>
    <w:rsid w:val="009866CB"/>
    <w:rsid w:val="00986943"/>
    <w:rsid w:val="009908D0"/>
    <w:rsid w:val="0099099A"/>
    <w:rsid w:val="009912C7"/>
    <w:rsid w:val="0099232C"/>
    <w:rsid w:val="00995965"/>
    <w:rsid w:val="00996139"/>
    <w:rsid w:val="0099626F"/>
    <w:rsid w:val="00996809"/>
    <w:rsid w:val="00997FCC"/>
    <w:rsid w:val="009A14C9"/>
    <w:rsid w:val="009A2154"/>
    <w:rsid w:val="009A3240"/>
    <w:rsid w:val="009A4906"/>
    <w:rsid w:val="009A5462"/>
    <w:rsid w:val="009A5580"/>
    <w:rsid w:val="009A66D0"/>
    <w:rsid w:val="009A7CB2"/>
    <w:rsid w:val="009A7DB8"/>
    <w:rsid w:val="009B2AC2"/>
    <w:rsid w:val="009B32CD"/>
    <w:rsid w:val="009B3881"/>
    <w:rsid w:val="009B4D75"/>
    <w:rsid w:val="009B6ECD"/>
    <w:rsid w:val="009B72CF"/>
    <w:rsid w:val="009C0778"/>
    <w:rsid w:val="009C3B85"/>
    <w:rsid w:val="009C3D5A"/>
    <w:rsid w:val="009C3FC9"/>
    <w:rsid w:val="009C5ED3"/>
    <w:rsid w:val="009C75D9"/>
    <w:rsid w:val="009D0A18"/>
    <w:rsid w:val="009D1521"/>
    <w:rsid w:val="009D3ABC"/>
    <w:rsid w:val="009D42E4"/>
    <w:rsid w:val="009D4566"/>
    <w:rsid w:val="009D4C24"/>
    <w:rsid w:val="009D6421"/>
    <w:rsid w:val="009D7BE7"/>
    <w:rsid w:val="009D7E69"/>
    <w:rsid w:val="009E3233"/>
    <w:rsid w:val="009E41FE"/>
    <w:rsid w:val="009E4AE3"/>
    <w:rsid w:val="009E6FC4"/>
    <w:rsid w:val="009E718A"/>
    <w:rsid w:val="009F09CB"/>
    <w:rsid w:val="009F0C1B"/>
    <w:rsid w:val="009F0DF2"/>
    <w:rsid w:val="009F0EF9"/>
    <w:rsid w:val="009F1E62"/>
    <w:rsid w:val="009F32EB"/>
    <w:rsid w:val="009F6FC8"/>
    <w:rsid w:val="00A035BA"/>
    <w:rsid w:val="00A03C02"/>
    <w:rsid w:val="00A04981"/>
    <w:rsid w:val="00A05FBB"/>
    <w:rsid w:val="00A06F6E"/>
    <w:rsid w:val="00A07ACB"/>
    <w:rsid w:val="00A07FAF"/>
    <w:rsid w:val="00A114FC"/>
    <w:rsid w:val="00A117C7"/>
    <w:rsid w:val="00A117DD"/>
    <w:rsid w:val="00A134C7"/>
    <w:rsid w:val="00A177B3"/>
    <w:rsid w:val="00A20857"/>
    <w:rsid w:val="00A20D78"/>
    <w:rsid w:val="00A212DC"/>
    <w:rsid w:val="00A21355"/>
    <w:rsid w:val="00A22C42"/>
    <w:rsid w:val="00A22E28"/>
    <w:rsid w:val="00A25C56"/>
    <w:rsid w:val="00A26512"/>
    <w:rsid w:val="00A32C5E"/>
    <w:rsid w:val="00A349B6"/>
    <w:rsid w:val="00A35861"/>
    <w:rsid w:val="00A35D5B"/>
    <w:rsid w:val="00A4134E"/>
    <w:rsid w:val="00A4137E"/>
    <w:rsid w:val="00A41CF0"/>
    <w:rsid w:val="00A4453F"/>
    <w:rsid w:val="00A4470D"/>
    <w:rsid w:val="00A4548E"/>
    <w:rsid w:val="00A51A65"/>
    <w:rsid w:val="00A51F30"/>
    <w:rsid w:val="00A54980"/>
    <w:rsid w:val="00A54C9D"/>
    <w:rsid w:val="00A5794B"/>
    <w:rsid w:val="00A602C1"/>
    <w:rsid w:val="00A60611"/>
    <w:rsid w:val="00A60FA6"/>
    <w:rsid w:val="00A61330"/>
    <w:rsid w:val="00A62BA1"/>
    <w:rsid w:val="00A62EFA"/>
    <w:rsid w:val="00A6337E"/>
    <w:rsid w:val="00A64A9E"/>
    <w:rsid w:val="00A6655D"/>
    <w:rsid w:val="00A66903"/>
    <w:rsid w:val="00A67E93"/>
    <w:rsid w:val="00A70051"/>
    <w:rsid w:val="00A71646"/>
    <w:rsid w:val="00A71ACD"/>
    <w:rsid w:val="00A7204F"/>
    <w:rsid w:val="00A73474"/>
    <w:rsid w:val="00A73500"/>
    <w:rsid w:val="00A7390C"/>
    <w:rsid w:val="00A73A47"/>
    <w:rsid w:val="00A7685C"/>
    <w:rsid w:val="00A77B7D"/>
    <w:rsid w:val="00A77EC6"/>
    <w:rsid w:val="00A831CF"/>
    <w:rsid w:val="00A84DAA"/>
    <w:rsid w:val="00A855A6"/>
    <w:rsid w:val="00A855C8"/>
    <w:rsid w:val="00A869E0"/>
    <w:rsid w:val="00A87581"/>
    <w:rsid w:val="00A913B5"/>
    <w:rsid w:val="00A924D2"/>
    <w:rsid w:val="00A92E99"/>
    <w:rsid w:val="00A931BB"/>
    <w:rsid w:val="00A93EBD"/>
    <w:rsid w:val="00A96333"/>
    <w:rsid w:val="00AA0C57"/>
    <w:rsid w:val="00AA0E8E"/>
    <w:rsid w:val="00AA3748"/>
    <w:rsid w:val="00AA3828"/>
    <w:rsid w:val="00AA4123"/>
    <w:rsid w:val="00AA429A"/>
    <w:rsid w:val="00AB0EC2"/>
    <w:rsid w:val="00AB0FE2"/>
    <w:rsid w:val="00AB1FD9"/>
    <w:rsid w:val="00AB3EA9"/>
    <w:rsid w:val="00AB3F66"/>
    <w:rsid w:val="00AB4072"/>
    <w:rsid w:val="00AB47A1"/>
    <w:rsid w:val="00AB6F27"/>
    <w:rsid w:val="00AB7F57"/>
    <w:rsid w:val="00AC4066"/>
    <w:rsid w:val="00AC46A9"/>
    <w:rsid w:val="00AC5565"/>
    <w:rsid w:val="00AC57EA"/>
    <w:rsid w:val="00AC725C"/>
    <w:rsid w:val="00AC7A5E"/>
    <w:rsid w:val="00AD0275"/>
    <w:rsid w:val="00AD077F"/>
    <w:rsid w:val="00AD2167"/>
    <w:rsid w:val="00AD4C51"/>
    <w:rsid w:val="00AD7F83"/>
    <w:rsid w:val="00AE0161"/>
    <w:rsid w:val="00AE05E2"/>
    <w:rsid w:val="00AE1416"/>
    <w:rsid w:val="00AE1671"/>
    <w:rsid w:val="00AE26B2"/>
    <w:rsid w:val="00AE3573"/>
    <w:rsid w:val="00AE49C7"/>
    <w:rsid w:val="00AE6DA9"/>
    <w:rsid w:val="00AF0BB0"/>
    <w:rsid w:val="00AF413E"/>
    <w:rsid w:val="00AF4B1A"/>
    <w:rsid w:val="00AF5431"/>
    <w:rsid w:val="00AF59ED"/>
    <w:rsid w:val="00AF606D"/>
    <w:rsid w:val="00AF6FD3"/>
    <w:rsid w:val="00B029C7"/>
    <w:rsid w:val="00B032DA"/>
    <w:rsid w:val="00B040DD"/>
    <w:rsid w:val="00B04F1D"/>
    <w:rsid w:val="00B05C34"/>
    <w:rsid w:val="00B06CF5"/>
    <w:rsid w:val="00B07959"/>
    <w:rsid w:val="00B136B9"/>
    <w:rsid w:val="00B13A9F"/>
    <w:rsid w:val="00B13FFD"/>
    <w:rsid w:val="00B1539C"/>
    <w:rsid w:val="00B15504"/>
    <w:rsid w:val="00B1645A"/>
    <w:rsid w:val="00B220D0"/>
    <w:rsid w:val="00B23BB5"/>
    <w:rsid w:val="00B23F46"/>
    <w:rsid w:val="00B25319"/>
    <w:rsid w:val="00B259CF"/>
    <w:rsid w:val="00B25F68"/>
    <w:rsid w:val="00B2672E"/>
    <w:rsid w:val="00B30131"/>
    <w:rsid w:val="00B31161"/>
    <w:rsid w:val="00B31EBA"/>
    <w:rsid w:val="00B333E5"/>
    <w:rsid w:val="00B3479F"/>
    <w:rsid w:val="00B3492C"/>
    <w:rsid w:val="00B34FB6"/>
    <w:rsid w:val="00B368A8"/>
    <w:rsid w:val="00B3741E"/>
    <w:rsid w:val="00B40A16"/>
    <w:rsid w:val="00B40D2F"/>
    <w:rsid w:val="00B41515"/>
    <w:rsid w:val="00B4267E"/>
    <w:rsid w:val="00B42879"/>
    <w:rsid w:val="00B529EF"/>
    <w:rsid w:val="00B53549"/>
    <w:rsid w:val="00B544B2"/>
    <w:rsid w:val="00B54B78"/>
    <w:rsid w:val="00B55C8C"/>
    <w:rsid w:val="00B55E4A"/>
    <w:rsid w:val="00B56327"/>
    <w:rsid w:val="00B56422"/>
    <w:rsid w:val="00B624C5"/>
    <w:rsid w:val="00B64AA2"/>
    <w:rsid w:val="00B708FE"/>
    <w:rsid w:val="00B709F8"/>
    <w:rsid w:val="00B71957"/>
    <w:rsid w:val="00B72DB2"/>
    <w:rsid w:val="00B7325B"/>
    <w:rsid w:val="00B73C72"/>
    <w:rsid w:val="00B73D76"/>
    <w:rsid w:val="00B7440B"/>
    <w:rsid w:val="00B7501D"/>
    <w:rsid w:val="00B7516C"/>
    <w:rsid w:val="00B7566C"/>
    <w:rsid w:val="00B76D72"/>
    <w:rsid w:val="00B76F08"/>
    <w:rsid w:val="00B80887"/>
    <w:rsid w:val="00B82F9A"/>
    <w:rsid w:val="00B83825"/>
    <w:rsid w:val="00B83E84"/>
    <w:rsid w:val="00B84005"/>
    <w:rsid w:val="00B84194"/>
    <w:rsid w:val="00B84DDD"/>
    <w:rsid w:val="00B86564"/>
    <w:rsid w:val="00B866FD"/>
    <w:rsid w:val="00B86CDA"/>
    <w:rsid w:val="00B92DE5"/>
    <w:rsid w:val="00B93135"/>
    <w:rsid w:val="00B9332C"/>
    <w:rsid w:val="00B9335A"/>
    <w:rsid w:val="00B9416C"/>
    <w:rsid w:val="00B94301"/>
    <w:rsid w:val="00B95A31"/>
    <w:rsid w:val="00B95AF1"/>
    <w:rsid w:val="00B95DFA"/>
    <w:rsid w:val="00B97830"/>
    <w:rsid w:val="00BA2885"/>
    <w:rsid w:val="00BA35FB"/>
    <w:rsid w:val="00BA3F59"/>
    <w:rsid w:val="00BA527C"/>
    <w:rsid w:val="00BA6D06"/>
    <w:rsid w:val="00BA706D"/>
    <w:rsid w:val="00BA7501"/>
    <w:rsid w:val="00BA7ECB"/>
    <w:rsid w:val="00BA7EF8"/>
    <w:rsid w:val="00BB35E8"/>
    <w:rsid w:val="00BB4F71"/>
    <w:rsid w:val="00BC0204"/>
    <w:rsid w:val="00BC2028"/>
    <w:rsid w:val="00BC6469"/>
    <w:rsid w:val="00BC64AD"/>
    <w:rsid w:val="00BD03F5"/>
    <w:rsid w:val="00BD1DC4"/>
    <w:rsid w:val="00BD3488"/>
    <w:rsid w:val="00BD38B0"/>
    <w:rsid w:val="00BD53AA"/>
    <w:rsid w:val="00BD5942"/>
    <w:rsid w:val="00BD6131"/>
    <w:rsid w:val="00BD6595"/>
    <w:rsid w:val="00BD6D07"/>
    <w:rsid w:val="00BD7883"/>
    <w:rsid w:val="00BD79C8"/>
    <w:rsid w:val="00BE387E"/>
    <w:rsid w:val="00BE4383"/>
    <w:rsid w:val="00BE64BD"/>
    <w:rsid w:val="00BF0797"/>
    <w:rsid w:val="00BF20A6"/>
    <w:rsid w:val="00BF542B"/>
    <w:rsid w:val="00BF5AD6"/>
    <w:rsid w:val="00BF605B"/>
    <w:rsid w:val="00BF67AF"/>
    <w:rsid w:val="00BF78F3"/>
    <w:rsid w:val="00C01F42"/>
    <w:rsid w:val="00C02070"/>
    <w:rsid w:val="00C03386"/>
    <w:rsid w:val="00C04833"/>
    <w:rsid w:val="00C04A3E"/>
    <w:rsid w:val="00C05E3B"/>
    <w:rsid w:val="00C0602D"/>
    <w:rsid w:val="00C12195"/>
    <w:rsid w:val="00C12C7A"/>
    <w:rsid w:val="00C130E6"/>
    <w:rsid w:val="00C1379C"/>
    <w:rsid w:val="00C15140"/>
    <w:rsid w:val="00C15469"/>
    <w:rsid w:val="00C164F3"/>
    <w:rsid w:val="00C1673C"/>
    <w:rsid w:val="00C2154B"/>
    <w:rsid w:val="00C22B36"/>
    <w:rsid w:val="00C230AF"/>
    <w:rsid w:val="00C24709"/>
    <w:rsid w:val="00C24BAF"/>
    <w:rsid w:val="00C24CC6"/>
    <w:rsid w:val="00C25EE9"/>
    <w:rsid w:val="00C27BB6"/>
    <w:rsid w:val="00C32158"/>
    <w:rsid w:val="00C32192"/>
    <w:rsid w:val="00C3323F"/>
    <w:rsid w:val="00C3383A"/>
    <w:rsid w:val="00C33B82"/>
    <w:rsid w:val="00C35447"/>
    <w:rsid w:val="00C354CF"/>
    <w:rsid w:val="00C37D94"/>
    <w:rsid w:val="00C43ABC"/>
    <w:rsid w:val="00C472A2"/>
    <w:rsid w:val="00C475B2"/>
    <w:rsid w:val="00C51AE3"/>
    <w:rsid w:val="00C51DF1"/>
    <w:rsid w:val="00C5234C"/>
    <w:rsid w:val="00C545B0"/>
    <w:rsid w:val="00C55214"/>
    <w:rsid w:val="00C554FF"/>
    <w:rsid w:val="00C5726B"/>
    <w:rsid w:val="00C6011B"/>
    <w:rsid w:val="00C60B30"/>
    <w:rsid w:val="00C61E6A"/>
    <w:rsid w:val="00C6342F"/>
    <w:rsid w:val="00C63C1C"/>
    <w:rsid w:val="00C63D4A"/>
    <w:rsid w:val="00C65170"/>
    <w:rsid w:val="00C65B7E"/>
    <w:rsid w:val="00C6704C"/>
    <w:rsid w:val="00C70E8D"/>
    <w:rsid w:val="00C72109"/>
    <w:rsid w:val="00C749BE"/>
    <w:rsid w:val="00C75323"/>
    <w:rsid w:val="00C77D36"/>
    <w:rsid w:val="00C77D6B"/>
    <w:rsid w:val="00C8036F"/>
    <w:rsid w:val="00C803ED"/>
    <w:rsid w:val="00C81991"/>
    <w:rsid w:val="00C82392"/>
    <w:rsid w:val="00C903E3"/>
    <w:rsid w:val="00C905B2"/>
    <w:rsid w:val="00C91C9F"/>
    <w:rsid w:val="00C92A64"/>
    <w:rsid w:val="00C93845"/>
    <w:rsid w:val="00C93881"/>
    <w:rsid w:val="00C944DA"/>
    <w:rsid w:val="00C95099"/>
    <w:rsid w:val="00C95804"/>
    <w:rsid w:val="00C95FDB"/>
    <w:rsid w:val="00C975F8"/>
    <w:rsid w:val="00CA1BD4"/>
    <w:rsid w:val="00CA2F11"/>
    <w:rsid w:val="00CA3A97"/>
    <w:rsid w:val="00CA689C"/>
    <w:rsid w:val="00CA6C97"/>
    <w:rsid w:val="00CA7FC2"/>
    <w:rsid w:val="00CB07C0"/>
    <w:rsid w:val="00CB0B7C"/>
    <w:rsid w:val="00CB16D4"/>
    <w:rsid w:val="00CB2322"/>
    <w:rsid w:val="00CB2CC9"/>
    <w:rsid w:val="00CB3EE2"/>
    <w:rsid w:val="00CB4822"/>
    <w:rsid w:val="00CB4C23"/>
    <w:rsid w:val="00CB4D98"/>
    <w:rsid w:val="00CB609E"/>
    <w:rsid w:val="00CB60BC"/>
    <w:rsid w:val="00CB61D6"/>
    <w:rsid w:val="00CB625D"/>
    <w:rsid w:val="00CB68F9"/>
    <w:rsid w:val="00CC16A0"/>
    <w:rsid w:val="00CC1A36"/>
    <w:rsid w:val="00CC2C15"/>
    <w:rsid w:val="00CC2C5A"/>
    <w:rsid w:val="00CC2C92"/>
    <w:rsid w:val="00CC2D7D"/>
    <w:rsid w:val="00CC2EF0"/>
    <w:rsid w:val="00CC4F9B"/>
    <w:rsid w:val="00CC5A58"/>
    <w:rsid w:val="00CC7537"/>
    <w:rsid w:val="00CD2285"/>
    <w:rsid w:val="00CD30DC"/>
    <w:rsid w:val="00CD3F1A"/>
    <w:rsid w:val="00CD4DCC"/>
    <w:rsid w:val="00CD5629"/>
    <w:rsid w:val="00CD5867"/>
    <w:rsid w:val="00CD68AF"/>
    <w:rsid w:val="00CD6F71"/>
    <w:rsid w:val="00CE0F74"/>
    <w:rsid w:val="00CE1C00"/>
    <w:rsid w:val="00CE4A5F"/>
    <w:rsid w:val="00CE528E"/>
    <w:rsid w:val="00CE5893"/>
    <w:rsid w:val="00CF17EA"/>
    <w:rsid w:val="00CF2E43"/>
    <w:rsid w:val="00CF579D"/>
    <w:rsid w:val="00CF5E88"/>
    <w:rsid w:val="00CF6F98"/>
    <w:rsid w:val="00D00281"/>
    <w:rsid w:val="00D04D51"/>
    <w:rsid w:val="00D04FF4"/>
    <w:rsid w:val="00D078E6"/>
    <w:rsid w:val="00D10406"/>
    <w:rsid w:val="00D116BD"/>
    <w:rsid w:val="00D120FF"/>
    <w:rsid w:val="00D139AB"/>
    <w:rsid w:val="00D14A73"/>
    <w:rsid w:val="00D157B6"/>
    <w:rsid w:val="00D15AFE"/>
    <w:rsid w:val="00D20241"/>
    <w:rsid w:val="00D22150"/>
    <w:rsid w:val="00D22A94"/>
    <w:rsid w:val="00D234E1"/>
    <w:rsid w:val="00D2439A"/>
    <w:rsid w:val="00D3162B"/>
    <w:rsid w:val="00D336F5"/>
    <w:rsid w:val="00D3396C"/>
    <w:rsid w:val="00D33CB7"/>
    <w:rsid w:val="00D36E9B"/>
    <w:rsid w:val="00D416A7"/>
    <w:rsid w:val="00D444C8"/>
    <w:rsid w:val="00D4658E"/>
    <w:rsid w:val="00D47109"/>
    <w:rsid w:val="00D47744"/>
    <w:rsid w:val="00D5305F"/>
    <w:rsid w:val="00D54A3D"/>
    <w:rsid w:val="00D56CAE"/>
    <w:rsid w:val="00D57383"/>
    <w:rsid w:val="00D63ED5"/>
    <w:rsid w:val="00D64243"/>
    <w:rsid w:val="00D65263"/>
    <w:rsid w:val="00D65A95"/>
    <w:rsid w:val="00D65B79"/>
    <w:rsid w:val="00D66FB8"/>
    <w:rsid w:val="00D67A4B"/>
    <w:rsid w:val="00D7048E"/>
    <w:rsid w:val="00D72840"/>
    <w:rsid w:val="00D72980"/>
    <w:rsid w:val="00D73019"/>
    <w:rsid w:val="00D74949"/>
    <w:rsid w:val="00D77831"/>
    <w:rsid w:val="00D82D05"/>
    <w:rsid w:val="00D8437D"/>
    <w:rsid w:val="00D87031"/>
    <w:rsid w:val="00D8741C"/>
    <w:rsid w:val="00D878F2"/>
    <w:rsid w:val="00D9066C"/>
    <w:rsid w:val="00D90FC2"/>
    <w:rsid w:val="00D9247D"/>
    <w:rsid w:val="00D92CEF"/>
    <w:rsid w:val="00D93AEB"/>
    <w:rsid w:val="00D93D9B"/>
    <w:rsid w:val="00D94470"/>
    <w:rsid w:val="00D9519E"/>
    <w:rsid w:val="00D96CE9"/>
    <w:rsid w:val="00DA055F"/>
    <w:rsid w:val="00DA252E"/>
    <w:rsid w:val="00DA2582"/>
    <w:rsid w:val="00DA46DA"/>
    <w:rsid w:val="00DB2F3B"/>
    <w:rsid w:val="00DB30F6"/>
    <w:rsid w:val="00DB4D2D"/>
    <w:rsid w:val="00DC105D"/>
    <w:rsid w:val="00DC1104"/>
    <w:rsid w:val="00DC2535"/>
    <w:rsid w:val="00DC2673"/>
    <w:rsid w:val="00DC27B2"/>
    <w:rsid w:val="00DC2B15"/>
    <w:rsid w:val="00DC2B18"/>
    <w:rsid w:val="00DC32EC"/>
    <w:rsid w:val="00DC3A86"/>
    <w:rsid w:val="00DC57B8"/>
    <w:rsid w:val="00DC6934"/>
    <w:rsid w:val="00DC69D5"/>
    <w:rsid w:val="00DD007E"/>
    <w:rsid w:val="00DD0674"/>
    <w:rsid w:val="00DD0B57"/>
    <w:rsid w:val="00DD184E"/>
    <w:rsid w:val="00DD241F"/>
    <w:rsid w:val="00DD360E"/>
    <w:rsid w:val="00DD369C"/>
    <w:rsid w:val="00DD43B8"/>
    <w:rsid w:val="00DD4F94"/>
    <w:rsid w:val="00DD5972"/>
    <w:rsid w:val="00DD6381"/>
    <w:rsid w:val="00DD662F"/>
    <w:rsid w:val="00DD72DD"/>
    <w:rsid w:val="00DD73D0"/>
    <w:rsid w:val="00DD7529"/>
    <w:rsid w:val="00DD770F"/>
    <w:rsid w:val="00DE0525"/>
    <w:rsid w:val="00DE13ED"/>
    <w:rsid w:val="00DE1EF7"/>
    <w:rsid w:val="00DE322A"/>
    <w:rsid w:val="00DE3328"/>
    <w:rsid w:val="00DE4BC7"/>
    <w:rsid w:val="00DE4D76"/>
    <w:rsid w:val="00DE58A3"/>
    <w:rsid w:val="00DE58C5"/>
    <w:rsid w:val="00DE5BAF"/>
    <w:rsid w:val="00DE6151"/>
    <w:rsid w:val="00DE6D33"/>
    <w:rsid w:val="00DE7601"/>
    <w:rsid w:val="00DF013F"/>
    <w:rsid w:val="00DF0DEA"/>
    <w:rsid w:val="00DF14BE"/>
    <w:rsid w:val="00DF1ED7"/>
    <w:rsid w:val="00DF34FD"/>
    <w:rsid w:val="00DF47ED"/>
    <w:rsid w:val="00DF6054"/>
    <w:rsid w:val="00E027B9"/>
    <w:rsid w:val="00E03FD1"/>
    <w:rsid w:val="00E04D6C"/>
    <w:rsid w:val="00E0510E"/>
    <w:rsid w:val="00E056D3"/>
    <w:rsid w:val="00E0571E"/>
    <w:rsid w:val="00E07473"/>
    <w:rsid w:val="00E1057B"/>
    <w:rsid w:val="00E12487"/>
    <w:rsid w:val="00E12CBF"/>
    <w:rsid w:val="00E13301"/>
    <w:rsid w:val="00E15717"/>
    <w:rsid w:val="00E16F1D"/>
    <w:rsid w:val="00E17F2F"/>
    <w:rsid w:val="00E20039"/>
    <w:rsid w:val="00E202BB"/>
    <w:rsid w:val="00E204C5"/>
    <w:rsid w:val="00E20CB2"/>
    <w:rsid w:val="00E212A2"/>
    <w:rsid w:val="00E22487"/>
    <w:rsid w:val="00E23E69"/>
    <w:rsid w:val="00E24D00"/>
    <w:rsid w:val="00E30124"/>
    <w:rsid w:val="00E31DBA"/>
    <w:rsid w:val="00E329A9"/>
    <w:rsid w:val="00E3559C"/>
    <w:rsid w:val="00E37048"/>
    <w:rsid w:val="00E4046D"/>
    <w:rsid w:val="00E40B4F"/>
    <w:rsid w:val="00E41C57"/>
    <w:rsid w:val="00E42DD7"/>
    <w:rsid w:val="00E44AB3"/>
    <w:rsid w:val="00E450F7"/>
    <w:rsid w:val="00E4610F"/>
    <w:rsid w:val="00E46E85"/>
    <w:rsid w:val="00E47224"/>
    <w:rsid w:val="00E47DD8"/>
    <w:rsid w:val="00E50091"/>
    <w:rsid w:val="00E521DD"/>
    <w:rsid w:val="00E53E23"/>
    <w:rsid w:val="00E56AF1"/>
    <w:rsid w:val="00E570F7"/>
    <w:rsid w:val="00E5780A"/>
    <w:rsid w:val="00E6010C"/>
    <w:rsid w:val="00E61C47"/>
    <w:rsid w:val="00E6246D"/>
    <w:rsid w:val="00E62DD5"/>
    <w:rsid w:val="00E63B4A"/>
    <w:rsid w:val="00E63E7F"/>
    <w:rsid w:val="00E644A1"/>
    <w:rsid w:val="00E645EB"/>
    <w:rsid w:val="00E64647"/>
    <w:rsid w:val="00E655FF"/>
    <w:rsid w:val="00E657D0"/>
    <w:rsid w:val="00E67208"/>
    <w:rsid w:val="00E672E9"/>
    <w:rsid w:val="00E676EB"/>
    <w:rsid w:val="00E73B08"/>
    <w:rsid w:val="00E750B8"/>
    <w:rsid w:val="00E75DCD"/>
    <w:rsid w:val="00E75F3A"/>
    <w:rsid w:val="00E81859"/>
    <w:rsid w:val="00E8354A"/>
    <w:rsid w:val="00E87A7F"/>
    <w:rsid w:val="00E90931"/>
    <w:rsid w:val="00E91552"/>
    <w:rsid w:val="00E92BD4"/>
    <w:rsid w:val="00E9314E"/>
    <w:rsid w:val="00E94857"/>
    <w:rsid w:val="00E953F5"/>
    <w:rsid w:val="00E96508"/>
    <w:rsid w:val="00E9753D"/>
    <w:rsid w:val="00EA077D"/>
    <w:rsid w:val="00EA0EAE"/>
    <w:rsid w:val="00EA6559"/>
    <w:rsid w:val="00EA77C4"/>
    <w:rsid w:val="00EA780B"/>
    <w:rsid w:val="00EB0E0A"/>
    <w:rsid w:val="00EB33AD"/>
    <w:rsid w:val="00EB4285"/>
    <w:rsid w:val="00EB4917"/>
    <w:rsid w:val="00EB6985"/>
    <w:rsid w:val="00EB6AEA"/>
    <w:rsid w:val="00EB715F"/>
    <w:rsid w:val="00EB772E"/>
    <w:rsid w:val="00EC2761"/>
    <w:rsid w:val="00EC3461"/>
    <w:rsid w:val="00EC3F55"/>
    <w:rsid w:val="00EC4CCD"/>
    <w:rsid w:val="00EC5300"/>
    <w:rsid w:val="00EC54C1"/>
    <w:rsid w:val="00EC5B18"/>
    <w:rsid w:val="00EC641E"/>
    <w:rsid w:val="00ED165E"/>
    <w:rsid w:val="00ED1E39"/>
    <w:rsid w:val="00ED249D"/>
    <w:rsid w:val="00ED58E1"/>
    <w:rsid w:val="00ED7500"/>
    <w:rsid w:val="00EE03E4"/>
    <w:rsid w:val="00EE096D"/>
    <w:rsid w:val="00EE0AD5"/>
    <w:rsid w:val="00EE2135"/>
    <w:rsid w:val="00EE714A"/>
    <w:rsid w:val="00EE76EF"/>
    <w:rsid w:val="00EF01AF"/>
    <w:rsid w:val="00EF0234"/>
    <w:rsid w:val="00EF0411"/>
    <w:rsid w:val="00EF38A7"/>
    <w:rsid w:val="00EF5528"/>
    <w:rsid w:val="00EF62DC"/>
    <w:rsid w:val="00EF7107"/>
    <w:rsid w:val="00EF7AA1"/>
    <w:rsid w:val="00F037AA"/>
    <w:rsid w:val="00F04AAD"/>
    <w:rsid w:val="00F06CD6"/>
    <w:rsid w:val="00F06D3F"/>
    <w:rsid w:val="00F10843"/>
    <w:rsid w:val="00F11283"/>
    <w:rsid w:val="00F11ACD"/>
    <w:rsid w:val="00F1403F"/>
    <w:rsid w:val="00F14B1E"/>
    <w:rsid w:val="00F15533"/>
    <w:rsid w:val="00F15829"/>
    <w:rsid w:val="00F16487"/>
    <w:rsid w:val="00F17B59"/>
    <w:rsid w:val="00F17EE7"/>
    <w:rsid w:val="00F20683"/>
    <w:rsid w:val="00F25C44"/>
    <w:rsid w:val="00F2754F"/>
    <w:rsid w:val="00F2760E"/>
    <w:rsid w:val="00F278E2"/>
    <w:rsid w:val="00F30ABB"/>
    <w:rsid w:val="00F3308B"/>
    <w:rsid w:val="00F34FF8"/>
    <w:rsid w:val="00F35838"/>
    <w:rsid w:val="00F36436"/>
    <w:rsid w:val="00F36DE1"/>
    <w:rsid w:val="00F37B0A"/>
    <w:rsid w:val="00F4115A"/>
    <w:rsid w:val="00F4169E"/>
    <w:rsid w:val="00F432D3"/>
    <w:rsid w:val="00F4374B"/>
    <w:rsid w:val="00F43EA9"/>
    <w:rsid w:val="00F456F3"/>
    <w:rsid w:val="00F472CF"/>
    <w:rsid w:val="00F52CB7"/>
    <w:rsid w:val="00F52E38"/>
    <w:rsid w:val="00F52F4B"/>
    <w:rsid w:val="00F532E2"/>
    <w:rsid w:val="00F54103"/>
    <w:rsid w:val="00F54C9D"/>
    <w:rsid w:val="00F54D59"/>
    <w:rsid w:val="00F550AA"/>
    <w:rsid w:val="00F555FA"/>
    <w:rsid w:val="00F57482"/>
    <w:rsid w:val="00F639F1"/>
    <w:rsid w:val="00F63FCA"/>
    <w:rsid w:val="00F641A8"/>
    <w:rsid w:val="00F65858"/>
    <w:rsid w:val="00F66FFA"/>
    <w:rsid w:val="00F677F8"/>
    <w:rsid w:val="00F80146"/>
    <w:rsid w:val="00F818DE"/>
    <w:rsid w:val="00F818FE"/>
    <w:rsid w:val="00F83955"/>
    <w:rsid w:val="00F857C1"/>
    <w:rsid w:val="00F86F0D"/>
    <w:rsid w:val="00F90A9A"/>
    <w:rsid w:val="00F91306"/>
    <w:rsid w:val="00F92212"/>
    <w:rsid w:val="00F931DA"/>
    <w:rsid w:val="00F94713"/>
    <w:rsid w:val="00F95434"/>
    <w:rsid w:val="00F96D88"/>
    <w:rsid w:val="00FA053B"/>
    <w:rsid w:val="00FA239A"/>
    <w:rsid w:val="00FA35AF"/>
    <w:rsid w:val="00FA35F7"/>
    <w:rsid w:val="00FA3E73"/>
    <w:rsid w:val="00FA566C"/>
    <w:rsid w:val="00FA74A5"/>
    <w:rsid w:val="00FB1A37"/>
    <w:rsid w:val="00FB2CC4"/>
    <w:rsid w:val="00FB4FCA"/>
    <w:rsid w:val="00FB5219"/>
    <w:rsid w:val="00FB5C88"/>
    <w:rsid w:val="00FB5F5F"/>
    <w:rsid w:val="00FB5FB0"/>
    <w:rsid w:val="00FB657B"/>
    <w:rsid w:val="00FC114B"/>
    <w:rsid w:val="00FC2605"/>
    <w:rsid w:val="00FC39C9"/>
    <w:rsid w:val="00FC3AA7"/>
    <w:rsid w:val="00FC43F3"/>
    <w:rsid w:val="00FC49A9"/>
    <w:rsid w:val="00FC535D"/>
    <w:rsid w:val="00FC654A"/>
    <w:rsid w:val="00FC7D05"/>
    <w:rsid w:val="00FD214C"/>
    <w:rsid w:val="00FE0699"/>
    <w:rsid w:val="00FE06B4"/>
    <w:rsid w:val="00FE266F"/>
    <w:rsid w:val="00FE2AFA"/>
    <w:rsid w:val="00FE2FB3"/>
    <w:rsid w:val="00FE3F4D"/>
    <w:rsid w:val="00FE4DA7"/>
    <w:rsid w:val="00FE5457"/>
    <w:rsid w:val="00FE7A67"/>
    <w:rsid w:val="00FF1EA8"/>
    <w:rsid w:val="00FF321A"/>
    <w:rsid w:val="00FF528C"/>
    <w:rsid w:val="00FF57C7"/>
    <w:rsid w:val="00FF6591"/>
    <w:rsid w:val="00FF76D5"/>
    <w:rsid w:val="00FF7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170A"/>
  <w15:docId w15:val="{6A0BBEBE-C4F3-42EF-B292-978DC032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7E"/>
    <w:rPr>
      <w:rFonts w:ascii="Calibri" w:eastAsia="Times New Roman" w:hAnsi="Calibri" w:cs="Times New Roman"/>
      <w:lang w:eastAsia="en-US"/>
    </w:rPr>
  </w:style>
  <w:style w:type="paragraph" w:styleId="Heading1">
    <w:name w:val="heading 1"/>
    <w:basedOn w:val="Normal"/>
    <w:next w:val="Normal"/>
    <w:link w:val="Heading1Char"/>
    <w:uiPriority w:val="9"/>
    <w:qFormat/>
    <w:rsid w:val="00A72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0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267E"/>
    <w:rPr>
      <w:rFonts w:cs="Times New Roman"/>
      <w:color w:val="0000FF"/>
      <w:u w:val="single"/>
    </w:rPr>
  </w:style>
  <w:style w:type="paragraph" w:styleId="Caption">
    <w:name w:val="caption"/>
    <w:basedOn w:val="Normal"/>
    <w:next w:val="Normal"/>
    <w:uiPriority w:val="99"/>
    <w:qFormat/>
    <w:rsid w:val="00B4267E"/>
    <w:pPr>
      <w:spacing w:line="240" w:lineRule="auto"/>
    </w:pPr>
    <w:rPr>
      <w:b/>
      <w:bCs/>
      <w:color w:val="2DA2BF"/>
      <w:sz w:val="18"/>
      <w:szCs w:val="18"/>
    </w:rPr>
  </w:style>
  <w:style w:type="paragraph" w:customStyle="1" w:styleId="Default">
    <w:name w:val="Default"/>
    <w:uiPriority w:val="99"/>
    <w:rsid w:val="00B4267E"/>
    <w:pPr>
      <w:autoSpaceDE w:val="0"/>
      <w:autoSpaceDN w:val="0"/>
      <w:adjustRightInd w:val="0"/>
    </w:pPr>
    <w:rPr>
      <w:rFonts w:ascii="Calibri" w:eastAsia="Times New Roman" w:hAnsi="Calibri" w:cs="Calibri"/>
      <w:color w:val="000000"/>
      <w:sz w:val="24"/>
      <w:szCs w:val="24"/>
      <w:lang w:eastAsia="en-US"/>
    </w:rPr>
  </w:style>
  <w:style w:type="paragraph" w:styleId="FootnoteText">
    <w:name w:val="footnote text"/>
    <w:basedOn w:val="Normal"/>
    <w:link w:val="FootnoteTextChar"/>
    <w:uiPriority w:val="99"/>
    <w:semiHidden/>
    <w:rsid w:val="00B4267E"/>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67E"/>
    <w:rPr>
      <w:rFonts w:ascii="Calibri" w:eastAsia="Times New Roman" w:hAnsi="Calibri" w:cs="Times New Roman"/>
      <w:sz w:val="20"/>
      <w:szCs w:val="20"/>
      <w:lang w:eastAsia="en-US"/>
    </w:rPr>
  </w:style>
  <w:style w:type="character" w:styleId="FootnoteReference">
    <w:name w:val="footnote reference"/>
    <w:basedOn w:val="DefaultParagraphFont"/>
    <w:uiPriority w:val="99"/>
    <w:semiHidden/>
    <w:rsid w:val="00B4267E"/>
    <w:rPr>
      <w:rFonts w:cs="Times New Roman"/>
      <w:vertAlign w:val="superscript"/>
    </w:rPr>
  </w:style>
  <w:style w:type="paragraph" w:styleId="NormalWeb">
    <w:name w:val="Normal (Web)"/>
    <w:basedOn w:val="Normal"/>
    <w:uiPriority w:val="99"/>
    <w:rsid w:val="00B4267E"/>
    <w:pPr>
      <w:spacing w:before="100" w:beforeAutospacing="1" w:after="100" w:afterAutospacing="1" w:line="240" w:lineRule="auto"/>
    </w:pPr>
    <w:rPr>
      <w:sz w:val="24"/>
      <w:szCs w:val="24"/>
    </w:rPr>
  </w:style>
  <w:style w:type="paragraph" w:styleId="NoSpacing">
    <w:name w:val="No Spacing"/>
    <w:uiPriority w:val="99"/>
    <w:qFormat/>
    <w:rsid w:val="00B4267E"/>
    <w:pPr>
      <w:spacing w:after="0" w:line="240" w:lineRule="auto"/>
    </w:pPr>
    <w:rPr>
      <w:rFonts w:ascii="Calibri" w:eastAsia="Times New Roman" w:hAnsi="Calibri" w:cs="Times New Roman"/>
      <w:lang w:eastAsia="en-US"/>
    </w:rPr>
  </w:style>
  <w:style w:type="paragraph" w:styleId="BalloonText">
    <w:name w:val="Balloon Text"/>
    <w:basedOn w:val="Normal"/>
    <w:link w:val="BalloonTextChar"/>
    <w:uiPriority w:val="99"/>
    <w:semiHidden/>
    <w:unhideWhenUsed/>
    <w:rsid w:val="00B4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7E"/>
    <w:rPr>
      <w:rFonts w:ascii="Tahoma" w:eastAsia="Times New Roman" w:hAnsi="Tahoma" w:cs="Tahoma"/>
      <w:sz w:val="16"/>
      <w:szCs w:val="16"/>
      <w:lang w:eastAsia="en-US"/>
    </w:rPr>
  </w:style>
  <w:style w:type="paragraph" w:styleId="Title">
    <w:name w:val="Title"/>
    <w:basedOn w:val="Normal"/>
    <w:next w:val="Normal"/>
    <w:link w:val="TitleChar"/>
    <w:uiPriority w:val="10"/>
    <w:qFormat/>
    <w:rsid w:val="00A72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04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A7204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A7204F"/>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7D1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4DB"/>
    <w:rPr>
      <w:rFonts w:ascii="Calibri" w:eastAsia="Times New Roman" w:hAnsi="Calibri" w:cs="Times New Roman"/>
      <w:lang w:eastAsia="en-US"/>
    </w:rPr>
  </w:style>
  <w:style w:type="paragraph" w:styleId="Footer">
    <w:name w:val="footer"/>
    <w:basedOn w:val="Normal"/>
    <w:link w:val="FooterChar"/>
    <w:uiPriority w:val="99"/>
    <w:unhideWhenUsed/>
    <w:rsid w:val="007D1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4DB"/>
    <w:rPr>
      <w:rFonts w:ascii="Calibri" w:eastAsia="Times New Roman" w:hAnsi="Calibri" w:cs="Times New Roman"/>
      <w:lang w:eastAsia="en-US"/>
    </w:rPr>
  </w:style>
  <w:style w:type="table" w:styleId="TableGrid">
    <w:name w:val="Table Grid"/>
    <w:basedOn w:val="TableNormal"/>
    <w:uiPriority w:val="59"/>
    <w:rsid w:val="00C9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2023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0232"/>
    <w:rPr>
      <w:rFonts w:ascii="Consolas" w:eastAsia="Times New Roman" w:hAnsi="Consolas" w:cs="Times New Roman"/>
      <w:sz w:val="20"/>
      <w:szCs w:val="20"/>
      <w:lang w:eastAsia="en-US"/>
    </w:rPr>
  </w:style>
  <w:style w:type="paragraph" w:styleId="ListParagraph">
    <w:name w:val="List Paragraph"/>
    <w:basedOn w:val="Normal"/>
    <w:uiPriority w:val="34"/>
    <w:qFormat/>
    <w:rsid w:val="0098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215705300">
      <w:bodyDiv w:val="1"/>
      <w:marLeft w:val="0"/>
      <w:marRight w:val="0"/>
      <w:marTop w:val="0"/>
      <w:marBottom w:val="0"/>
      <w:divBdr>
        <w:top w:val="none" w:sz="0" w:space="0" w:color="auto"/>
        <w:left w:val="none" w:sz="0" w:space="0" w:color="auto"/>
        <w:bottom w:val="none" w:sz="0" w:space="0" w:color="auto"/>
        <w:right w:val="none" w:sz="0" w:space="0" w:color="auto"/>
      </w:divBdr>
    </w:div>
    <w:div w:id="741678961">
      <w:bodyDiv w:val="1"/>
      <w:marLeft w:val="0"/>
      <w:marRight w:val="0"/>
      <w:marTop w:val="0"/>
      <w:marBottom w:val="0"/>
      <w:divBdr>
        <w:top w:val="none" w:sz="0" w:space="0" w:color="auto"/>
        <w:left w:val="none" w:sz="0" w:space="0" w:color="auto"/>
        <w:bottom w:val="none" w:sz="0" w:space="0" w:color="auto"/>
        <w:right w:val="none" w:sz="0" w:space="0" w:color="auto"/>
      </w:divBdr>
    </w:div>
    <w:div w:id="907954764">
      <w:bodyDiv w:val="1"/>
      <w:marLeft w:val="0"/>
      <w:marRight w:val="0"/>
      <w:marTop w:val="0"/>
      <w:marBottom w:val="0"/>
      <w:divBdr>
        <w:top w:val="none" w:sz="0" w:space="0" w:color="auto"/>
        <w:left w:val="none" w:sz="0" w:space="0" w:color="auto"/>
        <w:bottom w:val="none" w:sz="0" w:space="0" w:color="auto"/>
        <w:right w:val="none" w:sz="0" w:space="0" w:color="auto"/>
      </w:divBdr>
    </w:div>
    <w:div w:id="13411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bs.c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epal.org/sites/default/files/pr/files/table_press_gdp_preliminaryoverview2020-eng.pdf" TargetMode="External"/><Relationship Id="rId1" Type="http://schemas.openxmlformats.org/officeDocument/2006/relationships/hyperlink" Target="https://www.imf.org/en/Publications/WEO/Issues/2021/03/23/world-economic-outlook-april-202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Figuur 1: Re</a:t>
            </a:r>
            <a:r>
              <a:rPr lang="en-US">
                <a:latin typeface="Calibri" panose="020F0502020204030204" pitchFamily="34" charset="0"/>
                <a:cs typeface="Calibri" panose="020F0502020204030204" pitchFamily="34" charset="0"/>
              </a:rPr>
              <a:t>ë</a:t>
            </a:r>
            <a:r>
              <a:rPr lang="en-US"/>
              <a:t>le</a:t>
            </a:r>
            <a:r>
              <a:rPr lang="en-US" baseline="0"/>
              <a:t> BBP</a:t>
            </a:r>
            <a:r>
              <a:rPr lang="en-US"/>
              <a:t> Curaçao 2010-2020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Sheet1!$A$17</c:f>
              <c:strCache>
                <c:ptCount val="1"/>
                <c:pt idx="0">
                  <c:v>Real GDP growth </c:v>
                </c:pt>
              </c:strCache>
            </c:strRef>
          </c:tx>
          <c:spPr>
            <a:solidFill>
              <a:schemeClr val="accent1"/>
            </a:solidFill>
            <a:ln>
              <a:noFill/>
            </a:ln>
            <a:effectLst/>
          </c:spPr>
          <c:invertIfNegative val="0"/>
          <c:cat>
            <c:strRef>
              <c:f>Sheet1!$B$16:$L$16</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Sheet1!$B$17:$L$17</c:f>
              <c:numCache>
                <c:formatCode>0.0</c:formatCode>
                <c:ptCount val="11"/>
                <c:pt idx="0">
                  <c:v>8.2305218329747909E-2</c:v>
                </c:pt>
                <c:pt idx="1">
                  <c:v>0.61260989611078287</c:v>
                </c:pt>
                <c:pt idx="2">
                  <c:v>-0.13891818525312294</c:v>
                </c:pt>
                <c:pt idx="3">
                  <c:v>-0.79410697934301222</c:v>
                </c:pt>
                <c:pt idx="4">
                  <c:v>-1.1388379291585315</c:v>
                </c:pt>
                <c:pt idx="5">
                  <c:v>0.3</c:v>
                </c:pt>
                <c:pt idx="6">
                  <c:v>-0.9</c:v>
                </c:pt>
                <c:pt idx="7">
                  <c:v>-1.7</c:v>
                </c:pt>
                <c:pt idx="8">
                  <c:v>-2.2000000000000002</c:v>
                </c:pt>
                <c:pt idx="9">
                  <c:v>-3.4</c:v>
                </c:pt>
                <c:pt idx="10">
                  <c:v>-18.399999999999999</c:v>
                </c:pt>
              </c:numCache>
            </c:numRef>
          </c:val>
          <c:extLst>
            <c:ext xmlns:c16="http://schemas.microsoft.com/office/drawing/2014/chart" uri="{C3380CC4-5D6E-409C-BE32-E72D297353CC}">
              <c16:uniqueId val="{00000000-99ED-47A6-B818-BEDE9E5F0098}"/>
            </c:ext>
          </c:extLst>
        </c:ser>
        <c:dLbls>
          <c:showLegendKey val="0"/>
          <c:showVal val="0"/>
          <c:showCatName val="0"/>
          <c:showSerName val="0"/>
          <c:showPercent val="0"/>
          <c:showBubbleSize val="0"/>
        </c:dLbls>
        <c:gapWidth val="219"/>
        <c:overlap val="-27"/>
        <c:axId val="889714159"/>
        <c:axId val="889707503"/>
      </c:barChart>
      <c:catAx>
        <c:axId val="8897141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707503"/>
        <c:crosses val="autoZero"/>
        <c:auto val="1"/>
        <c:lblAlgn val="ctr"/>
        <c:lblOffset val="100"/>
        <c:noMultiLvlLbl val="0"/>
      </c:catAx>
      <c:valAx>
        <c:axId val="889707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71415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Figuur</a:t>
            </a:r>
            <a:r>
              <a:rPr lang="en-US" baseline="0"/>
              <a:t> 2: </a:t>
            </a:r>
            <a:r>
              <a:rPr lang="en-US"/>
              <a:t>Re</a:t>
            </a:r>
            <a:r>
              <a:rPr lang="en-US">
                <a:latin typeface="Calibri" panose="020F0502020204030204" pitchFamily="34" charset="0"/>
                <a:cs typeface="Calibri" panose="020F0502020204030204" pitchFamily="34" charset="0"/>
              </a:rPr>
              <a:t>ë</a:t>
            </a:r>
            <a:r>
              <a:rPr lang="en-US"/>
              <a:t>l</a:t>
            </a:r>
            <a:r>
              <a:rPr lang="en-US" baseline="0"/>
              <a:t>e BBP ontwikkeling in de regio/wereld 2010-2020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Sheet1!$A$26</c:f>
              <c:strCache>
                <c:ptCount val="1"/>
                <c:pt idx="0">
                  <c:v>Curaçao</c:v>
                </c:pt>
              </c:strCache>
            </c:strRef>
          </c:tx>
          <c:spPr>
            <a:solidFill>
              <a:schemeClr val="accent1"/>
            </a:solidFill>
            <a:ln>
              <a:noFill/>
            </a:ln>
            <a:effectLst/>
          </c:spPr>
          <c:invertIfNegative val="0"/>
          <c:cat>
            <c:strRef>
              <c:f>Sheet1!$B$25:$L$25</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Sheet1!$B$26:$L$26</c:f>
              <c:numCache>
                <c:formatCode>0.0</c:formatCode>
                <c:ptCount val="11"/>
                <c:pt idx="0">
                  <c:v>8.2305218329747909E-2</c:v>
                </c:pt>
                <c:pt idx="1">
                  <c:v>0.61260989611078287</c:v>
                </c:pt>
                <c:pt idx="2">
                  <c:v>-0.13891818525312294</c:v>
                </c:pt>
                <c:pt idx="3">
                  <c:v>-0.79410697934301222</c:v>
                </c:pt>
                <c:pt idx="4">
                  <c:v>-1.1388379291585315</c:v>
                </c:pt>
                <c:pt idx="5">
                  <c:v>0.3</c:v>
                </c:pt>
                <c:pt idx="6">
                  <c:v>-0.9</c:v>
                </c:pt>
                <c:pt idx="7">
                  <c:v>-1.7</c:v>
                </c:pt>
                <c:pt idx="8">
                  <c:v>-2.2000000000000002</c:v>
                </c:pt>
                <c:pt idx="9">
                  <c:v>-3.4</c:v>
                </c:pt>
                <c:pt idx="10">
                  <c:v>-18.399999999999999</c:v>
                </c:pt>
              </c:numCache>
            </c:numRef>
          </c:val>
          <c:extLst>
            <c:ext xmlns:c16="http://schemas.microsoft.com/office/drawing/2014/chart" uri="{C3380CC4-5D6E-409C-BE32-E72D297353CC}">
              <c16:uniqueId val="{00000000-962E-4883-9350-D38BCD8673D9}"/>
            </c:ext>
          </c:extLst>
        </c:ser>
        <c:ser>
          <c:idx val="1"/>
          <c:order val="1"/>
          <c:tx>
            <c:strRef>
              <c:f>Sheet1!$A$27</c:f>
              <c:strCache>
                <c:ptCount val="1"/>
                <c:pt idx="0">
                  <c:v>Caribbean</c:v>
                </c:pt>
              </c:strCache>
            </c:strRef>
          </c:tx>
          <c:spPr>
            <a:solidFill>
              <a:schemeClr val="accent2"/>
            </a:solidFill>
            <a:ln>
              <a:noFill/>
            </a:ln>
            <a:effectLst/>
          </c:spPr>
          <c:invertIfNegative val="0"/>
          <c:cat>
            <c:strRef>
              <c:f>Sheet1!$B$25:$L$25</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Sheet1!$B$27:$L$27</c:f>
              <c:numCache>
                <c:formatCode>General</c:formatCode>
                <c:ptCount val="11"/>
                <c:pt idx="0">
                  <c:v>0.5</c:v>
                </c:pt>
                <c:pt idx="1">
                  <c:v>2.2999999999999998</c:v>
                </c:pt>
                <c:pt idx="2">
                  <c:v>0.5</c:v>
                </c:pt>
                <c:pt idx="3">
                  <c:v>1.6</c:v>
                </c:pt>
                <c:pt idx="4">
                  <c:v>1.1000000000000001</c:v>
                </c:pt>
                <c:pt idx="5">
                  <c:v>1</c:v>
                </c:pt>
                <c:pt idx="6">
                  <c:v>-0.4</c:v>
                </c:pt>
                <c:pt idx="7">
                  <c:v>0.7</c:v>
                </c:pt>
                <c:pt idx="8">
                  <c:v>1.7</c:v>
                </c:pt>
                <c:pt idx="9">
                  <c:v>0.2</c:v>
                </c:pt>
                <c:pt idx="10">
                  <c:v>-4.3</c:v>
                </c:pt>
              </c:numCache>
            </c:numRef>
          </c:val>
          <c:extLst>
            <c:ext xmlns:c16="http://schemas.microsoft.com/office/drawing/2014/chart" uri="{C3380CC4-5D6E-409C-BE32-E72D297353CC}">
              <c16:uniqueId val="{00000001-962E-4883-9350-D38BCD8673D9}"/>
            </c:ext>
          </c:extLst>
        </c:ser>
        <c:ser>
          <c:idx val="2"/>
          <c:order val="2"/>
          <c:tx>
            <c:strRef>
              <c:f>Sheet1!$A$28</c:f>
              <c:strCache>
                <c:ptCount val="1"/>
                <c:pt idx="0">
                  <c:v>World Output</c:v>
                </c:pt>
              </c:strCache>
            </c:strRef>
          </c:tx>
          <c:spPr>
            <a:solidFill>
              <a:schemeClr val="accent3"/>
            </a:solidFill>
            <a:ln>
              <a:noFill/>
            </a:ln>
            <a:effectLst/>
          </c:spPr>
          <c:invertIfNegative val="0"/>
          <c:cat>
            <c:strRef>
              <c:f>Sheet1!$B$25:$L$25</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Sheet1!$B$28:$L$28</c:f>
              <c:numCache>
                <c:formatCode>General</c:formatCode>
                <c:ptCount val="11"/>
                <c:pt idx="0">
                  <c:v>5.4</c:v>
                </c:pt>
                <c:pt idx="1">
                  <c:v>4.3</c:v>
                </c:pt>
                <c:pt idx="2">
                  <c:v>3.5</c:v>
                </c:pt>
                <c:pt idx="3">
                  <c:v>3.5</c:v>
                </c:pt>
                <c:pt idx="4">
                  <c:v>3.6</c:v>
                </c:pt>
                <c:pt idx="5">
                  <c:v>3.5</c:v>
                </c:pt>
                <c:pt idx="6">
                  <c:v>3.3</c:v>
                </c:pt>
                <c:pt idx="7">
                  <c:v>3.8</c:v>
                </c:pt>
                <c:pt idx="8">
                  <c:v>3.6</c:v>
                </c:pt>
                <c:pt idx="9">
                  <c:v>2.8</c:v>
                </c:pt>
                <c:pt idx="10">
                  <c:v>-3.3</c:v>
                </c:pt>
              </c:numCache>
            </c:numRef>
          </c:val>
          <c:extLst>
            <c:ext xmlns:c16="http://schemas.microsoft.com/office/drawing/2014/chart" uri="{C3380CC4-5D6E-409C-BE32-E72D297353CC}">
              <c16:uniqueId val="{00000002-962E-4883-9350-D38BCD8673D9}"/>
            </c:ext>
          </c:extLst>
        </c:ser>
        <c:dLbls>
          <c:showLegendKey val="0"/>
          <c:showVal val="0"/>
          <c:showCatName val="0"/>
          <c:showSerName val="0"/>
          <c:showPercent val="0"/>
          <c:showBubbleSize val="0"/>
        </c:dLbls>
        <c:gapWidth val="219"/>
        <c:overlap val="-27"/>
        <c:axId val="889290767"/>
        <c:axId val="889279951"/>
      </c:barChart>
      <c:catAx>
        <c:axId val="8892907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279951"/>
        <c:crosses val="autoZero"/>
        <c:auto val="1"/>
        <c:lblAlgn val="ctr"/>
        <c:lblOffset val="100"/>
        <c:noMultiLvlLbl val="0"/>
      </c:catAx>
      <c:valAx>
        <c:axId val="8892799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290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62B9-F7BC-4B44-BE62-930C3EC1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Varlack</dc:creator>
  <cp:lastModifiedBy>Harely Martina</cp:lastModifiedBy>
  <cp:revision>2</cp:revision>
  <cp:lastPrinted>2021-07-20T18:39:00Z</cp:lastPrinted>
  <dcterms:created xsi:type="dcterms:W3CDTF">2021-07-23T20:36:00Z</dcterms:created>
  <dcterms:modified xsi:type="dcterms:W3CDTF">2021-07-23T20:36:00Z</dcterms:modified>
</cp:coreProperties>
</file>